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A929DA" w14:paraId="6CF7B03D" w14:textId="77777777" w:rsidTr="00F320AA">
        <w:trPr>
          <w:cantSplit/>
        </w:trPr>
        <w:tc>
          <w:tcPr>
            <w:tcW w:w="1418" w:type="dxa"/>
            <w:vAlign w:val="center"/>
          </w:tcPr>
          <w:p w14:paraId="3A0F6DA8" w14:textId="77777777" w:rsidR="00F320AA" w:rsidRPr="00A929DA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A929DA">
              <w:rPr>
                <w:noProof/>
              </w:rPr>
              <w:drawing>
                <wp:inline distT="0" distB="0" distL="0" distR="0" wp14:anchorId="23214427" wp14:editId="4E405227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7CEE9A3F" w14:textId="77777777" w:rsidR="00F320AA" w:rsidRPr="00A929DA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929D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A929D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A929D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68A06961" w14:textId="77777777" w:rsidR="00F320AA" w:rsidRPr="00A929DA" w:rsidRDefault="00EB0812" w:rsidP="00F320AA">
            <w:pPr>
              <w:spacing w:before="0" w:line="240" w:lineRule="atLeast"/>
            </w:pPr>
            <w:r w:rsidRPr="00A929DA">
              <w:rPr>
                <w:noProof/>
              </w:rPr>
              <w:drawing>
                <wp:inline distT="0" distB="0" distL="0" distR="0" wp14:anchorId="149C6EAC" wp14:editId="504E816B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A929DA" w14:paraId="599C307D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7530F39E" w14:textId="77777777" w:rsidR="00A066F1" w:rsidRPr="00A929D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71FEDE1F" w14:textId="77777777" w:rsidR="00A066F1" w:rsidRPr="00A929D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A929DA" w14:paraId="433A4DD2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7FD1489" w14:textId="77777777" w:rsidR="00A066F1" w:rsidRPr="00A929D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23099F8B" w14:textId="77777777" w:rsidR="00A066F1" w:rsidRPr="00A929D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A929DA" w14:paraId="2572222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EC83F37" w14:textId="2643CED3" w:rsidR="00A066F1" w:rsidRPr="00A929DA" w:rsidRDefault="00A066F1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0" w:name="dnum" w:colFirst="1" w:colLast="1"/>
            <w:bookmarkStart w:id="1" w:name="dmeeting" w:colFirst="0" w:colLast="0"/>
          </w:p>
        </w:tc>
        <w:tc>
          <w:tcPr>
            <w:tcW w:w="3120" w:type="dxa"/>
            <w:gridSpan w:val="2"/>
          </w:tcPr>
          <w:p w14:paraId="532DF739" w14:textId="439D7A28" w:rsidR="00A066F1" w:rsidRPr="00A929DA" w:rsidRDefault="00A066F1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A929DA" w14:paraId="3DE0306F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695AB02" w14:textId="77777777" w:rsidR="00A066F1" w:rsidRPr="00A929D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date" w:colFirst="1" w:colLast="1"/>
            <w:bookmarkStart w:id="3" w:name="dblank" w:colFirst="0" w:colLast="0"/>
            <w:bookmarkEnd w:id="0"/>
            <w:bookmarkEnd w:id="1"/>
          </w:p>
        </w:tc>
        <w:tc>
          <w:tcPr>
            <w:tcW w:w="3120" w:type="dxa"/>
            <w:gridSpan w:val="2"/>
          </w:tcPr>
          <w:p w14:paraId="56CE27F8" w14:textId="2DF419C4" w:rsidR="00A066F1" w:rsidRPr="00A929D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</w:p>
        </w:tc>
      </w:tr>
      <w:tr w:rsidR="00A066F1" w:rsidRPr="00A929DA" w14:paraId="552C2253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5CAED5E8" w14:textId="77777777" w:rsidR="00A066F1" w:rsidRPr="00A929D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4" w:name="dbluepink" w:colFirst="0" w:colLast="0"/>
            <w:bookmarkStart w:id="5" w:name="dorlang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3A511F57" w14:textId="0668D003" w:rsidR="00A066F1" w:rsidRPr="00A929D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A066F1" w:rsidRPr="00A929DA" w14:paraId="05CE2666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92D9C34" w14:textId="77777777" w:rsidR="00A066F1" w:rsidRPr="00A929D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1D2879" w:rsidRPr="00A929DA" w14:paraId="37894A79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0F056A02" w14:textId="77777777" w:rsidR="001D2879" w:rsidRDefault="00397D9C" w:rsidP="001D2879">
            <w:pPr>
              <w:pStyle w:val="Source"/>
            </w:pPr>
            <w:r>
              <w:t>Exp EIRP Tables</w:t>
            </w:r>
          </w:p>
          <w:p w14:paraId="50A3D0AD" w14:textId="25DA8235" w:rsidR="00397D9C" w:rsidRPr="00397D9C" w:rsidRDefault="00397D9C" w:rsidP="00397D9C"/>
        </w:tc>
      </w:tr>
      <w:tr w:rsidR="001D2879" w:rsidRPr="00A929DA" w14:paraId="3C2420E2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8FAE4B1" w14:textId="5DC08712" w:rsidR="001D2879" w:rsidRPr="00A929DA" w:rsidRDefault="001D2879" w:rsidP="001D2879">
            <w:pPr>
              <w:pStyle w:val="Title1"/>
            </w:pPr>
          </w:p>
        </w:tc>
      </w:tr>
      <w:tr w:rsidR="00E55816" w:rsidRPr="00A929DA" w14:paraId="2EEBC33E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510E5BFC" w14:textId="77777777" w:rsidR="00E55816" w:rsidRPr="00A929DA" w:rsidRDefault="00E55816" w:rsidP="00E55816">
            <w:pPr>
              <w:pStyle w:val="Title2"/>
            </w:pPr>
          </w:p>
        </w:tc>
      </w:tr>
    </w:tbl>
    <w:bookmarkEnd w:id="4"/>
    <w:bookmarkEnd w:id="5"/>
    <w:p w14:paraId="177E09D5" w14:textId="77777777" w:rsidR="00CF02F3" w:rsidRDefault="00CF02F3" w:rsidP="00CF02F3">
      <w:pPr>
        <w:rPr>
          <w:i/>
          <w:iCs/>
        </w:rPr>
      </w:pPr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101</w:t>
      </w:r>
      <w:r w:rsidRPr="00D4354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–</w:t>
      </w:r>
      <w:r w:rsidRPr="00D4354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J/NZL</w:t>
      </w:r>
      <w:r w:rsidRPr="00D43548">
        <w:rPr>
          <w:i/>
          <w:iCs/>
          <w:highlight w:val="yellow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CF02F3" w14:paraId="4EAD111E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18B3" w14:textId="77777777" w:rsidR="00CF02F3" w:rsidRDefault="00CF02F3" w:rsidP="00B77570">
            <w:pPr>
              <w:pStyle w:val="Tablehead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Vertical angle </w:t>
            </w:r>
            <w:r>
              <w:rPr>
                <w:rFonts w:eastAsiaTheme="minorEastAsia"/>
                <w:strike/>
                <w:lang w:val="en-US" w:eastAsia="zh-CN"/>
              </w:rPr>
              <w:t>measurement</w:t>
            </w:r>
            <w:r>
              <w:rPr>
                <w:rFonts w:eastAsiaTheme="minorEastAsia"/>
                <w:lang w:val="en-US" w:eastAsia="zh-CN"/>
              </w:rPr>
              <w:t xml:space="preserve"> window</w:t>
            </w:r>
            <w:r>
              <w:rPr>
                <w:rFonts w:eastAsiaTheme="minorEastAsia"/>
                <w:lang w:val="en-US" w:eastAsia="zh-CN"/>
              </w:rPr>
              <w:br/>
            </w:r>
            <w:proofErr w:type="spellStart"/>
            <w:r>
              <w:rPr>
                <w:rFonts w:eastAsia="Calibri"/>
                <w:highlight w:val="green"/>
                <w:lang w:val="en-US"/>
              </w:rPr>
              <w:t>θ</w:t>
            </w:r>
            <w:r>
              <w:rPr>
                <w:rFonts w:eastAsia="Calibri"/>
                <w:highlight w:val="green"/>
                <w:vertAlign w:val="subscript"/>
                <w:lang w:val="en-US"/>
              </w:rPr>
              <w:t>low</w:t>
            </w:r>
            <w:proofErr w:type="spellEnd"/>
            <w:r>
              <w:rPr>
                <w:rFonts w:eastAsia="Calibri"/>
                <w:highlight w:val="green"/>
                <w:lang w:val="en-US"/>
              </w:rPr>
              <w:t> ≤ θ &lt; </w:t>
            </w:r>
            <w:proofErr w:type="spellStart"/>
            <w:r>
              <w:rPr>
                <w:rFonts w:eastAsia="Calibri"/>
                <w:highlight w:val="green"/>
                <w:lang w:val="en-US"/>
              </w:rPr>
              <w:t>θ</w:t>
            </w:r>
            <w:r>
              <w:rPr>
                <w:rFonts w:eastAsia="Calibri"/>
                <w:highlight w:val="green"/>
                <w:vertAlign w:val="subscript"/>
                <w:lang w:val="en-US"/>
              </w:rPr>
              <w:t>high</w:t>
            </w:r>
            <w:proofErr w:type="spellEnd"/>
            <w:r>
              <w:rPr>
                <w:rFonts w:eastAsiaTheme="minorEastAsia"/>
                <w:lang w:val="en-US" w:eastAsia="zh-CN"/>
              </w:rPr>
              <w:br/>
              <w:t xml:space="preserve">(vertical angle θ above </w:t>
            </w:r>
            <w:r>
              <w:rPr>
                <w:rFonts w:eastAsiaTheme="minorEastAsia"/>
                <w:highlight w:val="green"/>
                <w:lang w:val="en-US" w:eastAsia="zh-CN"/>
              </w:rPr>
              <w:t>the</w:t>
            </w:r>
            <w:r>
              <w:rPr>
                <w:rFonts w:eastAsiaTheme="minorEastAsia"/>
                <w:lang w:val="en-US" w:eastAsia="zh-CN"/>
              </w:rPr>
              <w:t xml:space="preserve"> horizon)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4E63" w14:textId="77777777" w:rsidR="00CF02F3" w:rsidRDefault="00CF02F3" w:rsidP="00B77570">
            <w:pPr>
              <w:pStyle w:val="Tablehead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Expected </w:t>
            </w:r>
            <w:proofErr w:type="spellStart"/>
            <w:r>
              <w:rPr>
                <w:rFonts w:eastAsia="SimSun"/>
                <w:lang w:val="en-US" w:eastAsia="zh-CN"/>
              </w:rPr>
              <w:t>e.i.r.p</w:t>
            </w:r>
            <w:proofErr w:type="spellEnd"/>
            <w:r>
              <w:rPr>
                <w:rFonts w:eastAsia="SimSun"/>
                <w:lang w:val="en-US" w:eastAsia="zh-CN"/>
              </w:rPr>
              <w:t xml:space="preserve">. </w:t>
            </w:r>
            <w:r>
              <w:rPr>
                <w:rFonts w:eastAsia="SimSun"/>
                <w:lang w:val="en-US" w:eastAsia="zh-CN"/>
              </w:rPr>
              <w:br/>
              <w:t xml:space="preserve">(dBm/MHz) </w:t>
            </w:r>
            <w:r>
              <w:rPr>
                <w:rFonts w:eastAsia="SimSun"/>
                <w:lang w:val="en-US" w:eastAsia="zh-CN"/>
              </w:rPr>
              <w:br/>
            </w:r>
            <w:r>
              <w:rPr>
                <w:rFonts w:eastAsia="SimSun"/>
                <w:highlight w:val="green"/>
                <w:lang w:val="en-US" w:eastAsia="zh-CN"/>
              </w:rPr>
              <w:t>(See NOTES 1, 2, 3, 4, 5, 6 and 7)</w:t>
            </w:r>
          </w:p>
        </w:tc>
      </w:tr>
      <w:tr w:rsidR="00CF02F3" w14:paraId="6EE4973D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8DFA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MS Mincho"/>
                <w:highlight w:val="green"/>
                <w:lang w:val="en-US"/>
              </w:rPr>
              <w:t>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&lt; 5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1A71B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32</w:t>
            </w:r>
          </w:p>
        </w:tc>
      </w:tr>
      <w:tr w:rsidR="00CF02F3" w14:paraId="34B9106E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F698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="MS Mincho"/>
                <w:highlight w:val="green"/>
                <w:lang w:val="en-US"/>
              </w:rPr>
              <w:t>5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&lt; 10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13BD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27</w:t>
            </w:r>
          </w:p>
        </w:tc>
      </w:tr>
      <w:tr w:rsidR="00CF02F3" w14:paraId="004DC4CA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0C7A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="MS Mincho"/>
                <w:highlight w:val="green"/>
                <w:lang w:val="en-US"/>
              </w:rPr>
              <w:t>10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&lt; 15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66DB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23</w:t>
            </w:r>
          </w:p>
        </w:tc>
      </w:tr>
      <w:tr w:rsidR="00CF02F3" w14:paraId="1CEB37CD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3C12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="MS Mincho"/>
                <w:highlight w:val="green"/>
                <w:lang w:val="en-US"/>
              </w:rPr>
              <w:t>15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&lt; 20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4B58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21</w:t>
            </w:r>
          </w:p>
        </w:tc>
      </w:tr>
      <w:tr w:rsidR="00CF02F3" w14:paraId="0199419F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7C3B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="MS Mincho"/>
                <w:highlight w:val="green"/>
                <w:lang w:val="en-US"/>
              </w:rPr>
              <w:t>20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&lt; 30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A538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19</w:t>
            </w:r>
          </w:p>
        </w:tc>
      </w:tr>
      <w:tr w:rsidR="00CF02F3" w14:paraId="4E19FD03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0FEE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="MS Mincho"/>
                <w:highlight w:val="green"/>
                <w:lang w:val="en-US"/>
              </w:rPr>
              <w:t>30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&lt; 60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CE1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18</w:t>
            </w:r>
          </w:p>
        </w:tc>
      </w:tr>
      <w:tr w:rsidR="00CF02F3" w14:paraId="06AF0944" w14:textId="77777777" w:rsidTr="00B77570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3DCC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="MS Mincho"/>
                <w:highlight w:val="green"/>
                <w:lang w:val="en-US"/>
              </w:rPr>
              <w:t>60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  <w:r>
              <w:rPr>
                <w:rFonts w:eastAsia="MS Mincho"/>
                <w:highlight w:val="green"/>
                <w:lang w:val="en-US"/>
              </w:rPr>
              <w:t xml:space="preserve"> ≤ θ ≤ 90</w:t>
            </w:r>
            <w:r>
              <w:rPr>
                <w:rFonts w:eastAsia="MS Mincho"/>
                <w:highlight w:val="green"/>
                <w:lang w:val="en-US"/>
              </w:rPr>
              <w:sym w:font="Symbol" w:char="F0B0"/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B8F8E" w14:textId="77777777" w:rsidR="00CF02F3" w:rsidRDefault="00CF02F3" w:rsidP="00B77570">
            <w:pPr>
              <w:pStyle w:val="Tabletext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highlight w:val="green"/>
                <w:lang w:val="en-US"/>
              </w:rPr>
              <w:t>18</w:t>
            </w:r>
          </w:p>
        </w:tc>
      </w:tr>
      <w:tr w:rsidR="00CF02F3" w14:paraId="18DD59C8" w14:textId="77777777" w:rsidTr="00397D9C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B54B5" w14:textId="453997E7" w:rsidR="00CF02F3" w:rsidRDefault="00CF02F3" w:rsidP="00B77570">
            <w:pPr>
              <w:pStyle w:val="Tablelegend"/>
              <w:rPr>
                <w:rFonts w:eastAsiaTheme="minorEastAsia"/>
                <w:lang w:val="en-US"/>
              </w:rPr>
            </w:pPr>
          </w:p>
        </w:tc>
      </w:tr>
    </w:tbl>
    <w:p w14:paraId="48EC20A8" w14:textId="4B09E49D" w:rsidR="00CF02F3" w:rsidRPr="00CF02F3" w:rsidRDefault="00CF02F3" w:rsidP="00CF02F3">
      <w:pPr>
        <w:rPr>
          <w:i/>
          <w:iCs/>
        </w:rPr>
      </w:pPr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128 Add</w:t>
      </w:r>
      <w:r w:rsidRPr="008215EA">
        <w:rPr>
          <w:i/>
          <w:iCs/>
          <w:highlight w:val="yellow"/>
        </w:rPr>
        <w:t>.2 - BRU/INS/SNG]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CF02F3" w:rsidRPr="00C5538E" w14:paraId="3B93A761" w14:textId="77777777" w:rsidTr="00B77570">
        <w:tc>
          <w:tcPr>
            <w:tcW w:w="4814" w:type="dxa"/>
            <w:vAlign w:val="center"/>
            <w:hideMark/>
          </w:tcPr>
          <w:p w14:paraId="37CD76AC" w14:textId="77777777" w:rsidR="00CF02F3" w:rsidRPr="00C5538E" w:rsidRDefault="00CF02F3" w:rsidP="00B77570">
            <w:pPr>
              <w:pStyle w:val="Tablehead"/>
              <w:rPr>
                <w:lang w:eastAsia="zh-CN"/>
              </w:rPr>
            </w:pPr>
            <w:r w:rsidRPr="00C5538E">
              <w:rPr>
                <w:lang w:eastAsia="zh-CN"/>
              </w:rPr>
              <w:t>Vertical angle measurement window</w:t>
            </w:r>
            <w:r w:rsidRPr="00C5538E">
              <w:rPr>
                <w:lang w:eastAsia="zh-CN"/>
              </w:rPr>
              <w:br/>
            </w:r>
            <w:proofErr w:type="spellStart"/>
            <w:r w:rsidRPr="00C5538E">
              <w:rPr>
                <w:rFonts w:eastAsia="Calibri"/>
              </w:rPr>
              <w:t>θ</w:t>
            </w:r>
            <w:r w:rsidRPr="00C5538E">
              <w:rPr>
                <w:rFonts w:eastAsia="Calibri"/>
                <w:i/>
                <w:iCs/>
                <w:vertAlign w:val="subscript"/>
              </w:rPr>
              <w:t>L</w:t>
            </w:r>
            <w:proofErr w:type="spellEnd"/>
            <w:r w:rsidRPr="00C5538E">
              <w:rPr>
                <w:rFonts w:eastAsia="Calibri"/>
              </w:rPr>
              <w:t> ≤ θ &lt; </w:t>
            </w:r>
            <w:proofErr w:type="spellStart"/>
            <w:r w:rsidRPr="00C5538E">
              <w:rPr>
                <w:rFonts w:eastAsia="Calibri"/>
              </w:rPr>
              <w:t>θ</w:t>
            </w:r>
            <w:r w:rsidRPr="00C5538E">
              <w:rPr>
                <w:rFonts w:eastAsia="Calibri"/>
                <w:i/>
                <w:iCs/>
                <w:vertAlign w:val="subscript"/>
              </w:rPr>
              <w:t>H</w:t>
            </w:r>
            <w:proofErr w:type="spellEnd"/>
            <w:r w:rsidRPr="00C5538E">
              <w:rPr>
                <w:lang w:eastAsia="zh-CN"/>
              </w:rPr>
              <w:br/>
              <w:t>(vertical angle θ above horizon)</w:t>
            </w:r>
          </w:p>
        </w:tc>
        <w:tc>
          <w:tcPr>
            <w:tcW w:w="4815" w:type="dxa"/>
            <w:vAlign w:val="center"/>
            <w:hideMark/>
          </w:tcPr>
          <w:p w14:paraId="604E6C0A" w14:textId="77777777" w:rsidR="00CF02F3" w:rsidRPr="00C5538E" w:rsidRDefault="00CF02F3" w:rsidP="00B77570">
            <w:pPr>
              <w:pStyle w:val="Tablehead"/>
              <w:rPr>
                <w:lang w:eastAsia="zh-CN"/>
              </w:rPr>
            </w:pPr>
            <w:r w:rsidRPr="00C5538E">
              <w:rPr>
                <w:rFonts w:eastAsia="SimSun"/>
                <w:lang w:eastAsia="zh-CN"/>
              </w:rPr>
              <w:t xml:space="preserve">Expected </w:t>
            </w:r>
            <w:proofErr w:type="spellStart"/>
            <w:r w:rsidRPr="00C5538E">
              <w:rPr>
                <w:rFonts w:eastAsia="SimSun"/>
                <w:lang w:eastAsia="zh-CN"/>
              </w:rPr>
              <w:t>e.i.r.p</w:t>
            </w:r>
            <w:proofErr w:type="spellEnd"/>
            <w:r w:rsidRPr="00C5538E">
              <w:rPr>
                <w:rFonts w:eastAsia="SimSun"/>
                <w:lang w:eastAsia="zh-CN"/>
              </w:rPr>
              <w:t xml:space="preserve">. </w:t>
            </w:r>
            <w:r w:rsidRPr="00C5538E">
              <w:rPr>
                <w:rFonts w:eastAsia="SimSun"/>
                <w:lang w:eastAsia="zh-CN"/>
              </w:rPr>
              <w:br/>
              <w:t xml:space="preserve">(dBm/MHz) </w:t>
            </w:r>
            <w:r w:rsidRPr="00C5538E">
              <w:rPr>
                <w:rFonts w:eastAsia="SimSun"/>
                <w:lang w:eastAsia="zh-CN"/>
              </w:rPr>
              <w:br/>
              <w:t>(NOTE 1)</w:t>
            </w:r>
          </w:p>
        </w:tc>
      </w:tr>
      <w:tr w:rsidR="00CF02F3" w:rsidRPr="00C5538E" w14:paraId="3FCF8F6D" w14:textId="77777777" w:rsidTr="00B77570">
        <w:tc>
          <w:tcPr>
            <w:tcW w:w="4814" w:type="dxa"/>
            <w:hideMark/>
          </w:tcPr>
          <w:p w14:paraId="2A8915B9" w14:textId="77777777" w:rsidR="00CF02F3" w:rsidRPr="00C5538E" w:rsidRDefault="00CF02F3" w:rsidP="00B77570">
            <w:pPr>
              <w:pStyle w:val="Tabletext"/>
              <w:keepNext/>
              <w:jc w:val="center"/>
              <w:rPr>
                <w:lang w:eastAsia="zh-CN"/>
              </w:rPr>
            </w:pPr>
            <w:r w:rsidRPr="00C5538E">
              <w:t>0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</w:t>
            </w:r>
            <w:r w:rsidRPr="00C5538E">
              <w:rPr>
                <w:i/>
                <w:iCs/>
                <w:lang w:eastAsia="zh-CN"/>
              </w:rPr>
              <w:t xml:space="preserve"> </w:t>
            </w:r>
            <w:r w:rsidRPr="00C5538E">
              <w:rPr>
                <w:lang w:eastAsia="zh-CN"/>
              </w:rPr>
              <w:t>θ &lt;</w:t>
            </w:r>
            <w:r w:rsidRPr="00C5538E">
              <w:t xml:space="preserve"> 5</w:t>
            </w:r>
            <w:r w:rsidRPr="00C5538E">
              <w:sym w:font="Symbol" w:char="F0B0"/>
            </w:r>
          </w:p>
        </w:tc>
        <w:tc>
          <w:tcPr>
            <w:tcW w:w="4815" w:type="dxa"/>
            <w:hideMark/>
          </w:tcPr>
          <w:p w14:paraId="681319BE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32</w:t>
            </w:r>
          </w:p>
        </w:tc>
      </w:tr>
      <w:tr w:rsidR="00CF02F3" w:rsidRPr="00C5538E" w14:paraId="62EB55FA" w14:textId="77777777" w:rsidTr="00B77570">
        <w:tc>
          <w:tcPr>
            <w:tcW w:w="4814" w:type="dxa"/>
            <w:hideMark/>
          </w:tcPr>
          <w:p w14:paraId="18BE16AD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5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</w:t>
            </w:r>
            <w:r w:rsidRPr="00C5538E">
              <w:rPr>
                <w:i/>
                <w:iCs/>
                <w:lang w:eastAsia="zh-CN"/>
              </w:rPr>
              <w:t xml:space="preserve"> </w:t>
            </w:r>
            <w:r w:rsidRPr="00C5538E">
              <w:rPr>
                <w:lang w:eastAsia="zh-CN"/>
              </w:rPr>
              <w:t>θ</w:t>
            </w:r>
            <w:r w:rsidRPr="00C5538E">
              <w:rPr>
                <w:i/>
                <w:iCs/>
                <w:lang w:eastAsia="zh-CN"/>
              </w:rPr>
              <w:t xml:space="preserve"> </w:t>
            </w:r>
            <w:r w:rsidRPr="00C5538E">
              <w:rPr>
                <w:lang w:eastAsia="zh-CN"/>
              </w:rPr>
              <w:t>&lt;</w:t>
            </w:r>
            <w:r w:rsidRPr="00C5538E">
              <w:t xml:space="preserve"> 10</w:t>
            </w:r>
            <w:r w:rsidRPr="00C5538E">
              <w:sym w:font="Symbol" w:char="F0B0"/>
            </w:r>
          </w:p>
        </w:tc>
        <w:tc>
          <w:tcPr>
            <w:tcW w:w="4815" w:type="dxa"/>
            <w:hideMark/>
          </w:tcPr>
          <w:p w14:paraId="4F78A8AA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28</w:t>
            </w:r>
          </w:p>
        </w:tc>
      </w:tr>
      <w:tr w:rsidR="00CF02F3" w:rsidRPr="00C5538E" w14:paraId="58150E88" w14:textId="77777777" w:rsidTr="00B77570">
        <w:tc>
          <w:tcPr>
            <w:tcW w:w="4814" w:type="dxa"/>
            <w:hideMark/>
          </w:tcPr>
          <w:p w14:paraId="794E37F3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10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 θ</w:t>
            </w:r>
            <w:r w:rsidRPr="00C5538E">
              <w:rPr>
                <w:i/>
                <w:iCs/>
                <w:lang w:eastAsia="zh-CN"/>
              </w:rPr>
              <w:t xml:space="preserve"> </w:t>
            </w:r>
            <w:r w:rsidRPr="00C5538E">
              <w:rPr>
                <w:lang w:eastAsia="zh-CN"/>
              </w:rPr>
              <w:t>&lt;</w:t>
            </w:r>
            <w:r w:rsidRPr="00C5538E">
              <w:t xml:space="preserve"> 15</w:t>
            </w:r>
            <w:r w:rsidRPr="00C5538E">
              <w:sym w:font="Symbol" w:char="F0B0"/>
            </w:r>
          </w:p>
        </w:tc>
        <w:tc>
          <w:tcPr>
            <w:tcW w:w="4815" w:type="dxa"/>
            <w:hideMark/>
          </w:tcPr>
          <w:p w14:paraId="48C56734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24</w:t>
            </w:r>
          </w:p>
        </w:tc>
      </w:tr>
      <w:tr w:rsidR="00CF02F3" w:rsidRPr="00C5538E" w14:paraId="093C9F03" w14:textId="77777777" w:rsidTr="00B77570">
        <w:tc>
          <w:tcPr>
            <w:tcW w:w="4814" w:type="dxa"/>
            <w:hideMark/>
          </w:tcPr>
          <w:p w14:paraId="3ADB4CAD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15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 θ &lt;</w:t>
            </w:r>
            <w:r w:rsidRPr="00C5538E">
              <w:t xml:space="preserve"> 20</w:t>
            </w:r>
            <w:r w:rsidRPr="00C5538E">
              <w:sym w:font="Symbol" w:char="F0B0"/>
            </w:r>
          </w:p>
        </w:tc>
        <w:tc>
          <w:tcPr>
            <w:tcW w:w="4815" w:type="dxa"/>
            <w:hideMark/>
          </w:tcPr>
          <w:p w14:paraId="0A195773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24</w:t>
            </w:r>
          </w:p>
        </w:tc>
      </w:tr>
      <w:tr w:rsidR="00CF02F3" w:rsidRPr="00C5538E" w14:paraId="61847F2F" w14:textId="77777777" w:rsidTr="00B77570">
        <w:tc>
          <w:tcPr>
            <w:tcW w:w="4814" w:type="dxa"/>
            <w:hideMark/>
          </w:tcPr>
          <w:p w14:paraId="75ACED75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20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 θ &lt;</w:t>
            </w:r>
            <w:r w:rsidRPr="00C5538E">
              <w:t xml:space="preserve"> 30</w:t>
            </w:r>
            <w:r w:rsidRPr="00C5538E">
              <w:sym w:font="Symbol" w:char="F0B0"/>
            </w:r>
          </w:p>
        </w:tc>
        <w:tc>
          <w:tcPr>
            <w:tcW w:w="4815" w:type="dxa"/>
            <w:hideMark/>
          </w:tcPr>
          <w:p w14:paraId="061EAAA0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20</w:t>
            </w:r>
          </w:p>
        </w:tc>
      </w:tr>
      <w:tr w:rsidR="00CF02F3" w:rsidRPr="00C5538E" w14:paraId="16E2E3C9" w14:textId="77777777" w:rsidTr="00B77570">
        <w:tc>
          <w:tcPr>
            <w:tcW w:w="4814" w:type="dxa"/>
            <w:hideMark/>
          </w:tcPr>
          <w:p w14:paraId="33101DB8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30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 θ &lt;</w:t>
            </w:r>
            <w:r w:rsidRPr="00C5538E">
              <w:t xml:space="preserve"> 60</w:t>
            </w:r>
            <w:r w:rsidRPr="00C5538E">
              <w:sym w:font="Symbol" w:char="F0B0"/>
            </w:r>
          </w:p>
        </w:tc>
        <w:tc>
          <w:tcPr>
            <w:tcW w:w="4815" w:type="dxa"/>
            <w:hideMark/>
          </w:tcPr>
          <w:p w14:paraId="0C50E80D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18</w:t>
            </w:r>
          </w:p>
        </w:tc>
      </w:tr>
      <w:tr w:rsidR="00CF02F3" w:rsidRPr="00C5538E" w14:paraId="004D2E6A" w14:textId="77777777" w:rsidTr="00B77570">
        <w:tc>
          <w:tcPr>
            <w:tcW w:w="4814" w:type="dxa"/>
            <w:tcBorders>
              <w:bottom w:val="single" w:sz="4" w:space="0" w:color="auto"/>
            </w:tcBorders>
            <w:hideMark/>
          </w:tcPr>
          <w:p w14:paraId="19495E2E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60</w:t>
            </w:r>
            <w:r w:rsidRPr="00C5538E">
              <w:sym w:font="Symbol" w:char="F0B0"/>
            </w:r>
            <w:r w:rsidRPr="00C5538E">
              <w:t xml:space="preserve"> </w:t>
            </w:r>
            <w:r w:rsidRPr="00C5538E">
              <w:rPr>
                <w:lang w:eastAsia="zh-CN"/>
              </w:rPr>
              <w:t>≤ θ</w:t>
            </w:r>
            <w:r w:rsidRPr="00C5538E">
              <w:rPr>
                <w:i/>
                <w:iCs/>
                <w:lang w:eastAsia="zh-CN"/>
              </w:rPr>
              <w:t xml:space="preserve"> </w:t>
            </w:r>
            <w:r w:rsidRPr="00C5538E">
              <w:rPr>
                <w:lang w:eastAsia="zh-CN"/>
              </w:rPr>
              <w:t>≤</w:t>
            </w:r>
            <w:r w:rsidRPr="00C5538E">
              <w:t xml:space="preserve"> 90</w:t>
            </w:r>
            <w:r w:rsidRPr="00C5538E">
              <w:sym w:font="Symbol" w:char="F0B0"/>
            </w:r>
          </w:p>
        </w:tc>
        <w:tc>
          <w:tcPr>
            <w:tcW w:w="4815" w:type="dxa"/>
            <w:tcBorders>
              <w:bottom w:val="single" w:sz="4" w:space="0" w:color="auto"/>
            </w:tcBorders>
            <w:hideMark/>
          </w:tcPr>
          <w:p w14:paraId="2EAEBB1E" w14:textId="77777777" w:rsidR="00CF02F3" w:rsidRPr="00C5538E" w:rsidRDefault="00CF02F3" w:rsidP="00B77570">
            <w:pPr>
              <w:pStyle w:val="Tabletext"/>
              <w:keepNext/>
              <w:jc w:val="center"/>
            </w:pPr>
            <w:r w:rsidRPr="00C5538E">
              <w:t>17</w:t>
            </w:r>
          </w:p>
        </w:tc>
      </w:tr>
      <w:tr w:rsidR="00CF02F3" w:rsidRPr="00C5538E" w14:paraId="42D73F9C" w14:textId="77777777" w:rsidTr="00397D9C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47773" w14:textId="7772582E" w:rsidR="00CF02F3" w:rsidRPr="00C5538E" w:rsidRDefault="00CF02F3" w:rsidP="00B77570">
            <w:pPr>
              <w:pStyle w:val="Tablelegend"/>
              <w:ind w:left="284" w:hanging="284"/>
            </w:pPr>
          </w:p>
        </w:tc>
      </w:tr>
    </w:tbl>
    <w:p w14:paraId="325E099E" w14:textId="4512AA00" w:rsidR="00CF02F3" w:rsidRPr="004C5827" w:rsidRDefault="00CF02F3" w:rsidP="00CF02F3"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 xml:space="preserve">201 </w:t>
      </w:r>
      <w:r w:rsidRPr="008215EA">
        <w:rPr>
          <w:i/>
          <w:iCs/>
          <w:highlight w:val="yellow"/>
        </w:rPr>
        <w:t xml:space="preserve">- </w:t>
      </w:r>
      <w:r>
        <w:rPr>
          <w:i/>
          <w:iCs/>
          <w:highlight w:val="yellow"/>
        </w:rPr>
        <w:t>SMO</w:t>
      </w:r>
      <w:r w:rsidRPr="008215EA">
        <w:rPr>
          <w:i/>
          <w:iCs/>
          <w:highlight w:val="yellow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CF02F3" w:rsidRPr="004C5827" w14:paraId="5A5CF8D9" w14:textId="77777777" w:rsidTr="00B77570">
        <w:tc>
          <w:tcPr>
            <w:tcW w:w="4814" w:type="dxa"/>
            <w:vAlign w:val="center"/>
          </w:tcPr>
          <w:p w14:paraId="5CA3AEB7" w14:textId="77777777" w:rsidR="00CF02F3" w:rsidRPr="004C5827" w:rsidRDefault="00CF02F3" w:rsidP="00B77570">
            <w:pPr>
              <w:pStyle w:val="Tablehead"/>
            </w:pPr>
            <w:r w:rsidRPr="004C5827">
              <w:lastRenderedPageBreak/>
              <w:t xml:space="preserve">Vertical angle measurement window </w:t>
            </w:r>
            <w:r w:rsidRPr="004C5827">
              <w:br/>
            </w:r>
            <w:proofErr w:type="spellStart"/>
            <w:r w:rsidRPr="004C5827">
              <w:rPr>
                <w:lang w:eastAsia="zh-CN"/>
              </w:rPr>
              <w:t>θ</w:t>
            </w:r>
            <w:r w:rsidRPr="004C5827">
              <w:rPr>
                <w:i/>
                <w:iCs/>
                <w:vertAlign w:val="subscript"/>
                <w:lang w:eastAsia="zh-CN"/>
              </w:rPr>
              <w:t>L</w:t>
            </w:r>
            <w:proofErr w:type="spellEnd"/>
            <w:r w:rsidRPr="004C5827">
              <w:rPr>
                <w:i/>
                <w:iCs/>
                <w:vertAlign w:val="subscript"/>
                <w:lang w:eastAsia="zh-CN"/>
              </w:rPr>
              <w:t xml:space="preserve"> </w:t>
            </w:r>
            <w:r w:rsidRPr="004C5827">
              <w:rPr>
                <w:i/>
                <w:iCs/>
                <w:lang w:eastAsia="zh-CN"/>
              </w:rPr>
              <w:t xml:space="preserve">≤ </w:t>
            </w:r>
            <w:r w:rsidRPr="004C5827">
              <w:rPr>
                <w:lang w:eastAsia="zh-CN"/>
              </w:rPr>
              <w:t>θ</w:t>
            </w:r>
            <w:r w:rsidRPr="004C5827">
              <w:rPr>
                <w:i/>
                <w:iCs/>
                <w:lang w:eastAsia="zh-CN"/>
              </w:rPr>
              <w:t xml:space="preserve"> &lt; </w:t>
            </w:r>
            <w:proofErr w:type="spellStart"/>
            <w:r w:rsidRPr="004C5827">
              <w:rPr>
                <w:lang w:eastAsia="zh-CN"/>
              </w:rPr>
              <w:t>θ</w:t>
            </w:r>
            <w:r w:rsidRPr="004C5827">
              <w:rPr>
                <w:i/>
                <w:iCs/>
                <w:vertAlign w:val="subscript"/>
                <w:lang w:eastAsia="zh-CN"/>
              </w:rPr>
              <w:t>H</w:t>
            </w:r>
            <w:proofErr w:type="spellEnd"/>
            <w:r w:rsidRPr="004C5827">
              <w:t xml:space="preserve"> </w:t>
            </w:r>
            <w:r w:rsidRPr="004C5827">
              <w:br/>
              <w:t xml:space="preserve">(vertical angle </w:t>
            </w:r>
            <w:r w:rsidRPr="004C5827">
              <w:rPr>
                <w:lang w:eastAsia="zh-CN"/>
              </w:rPr>
              <w:t>θ</w:t>
            </w:r>
            <w:r w:rsidRPr="004C5827">
              <w:rPr>
                <w:i/>
                <w:iCs/>
                <w:lang w:eastAsia="zh-CN"/>
              </w:rPr>
              <w:t xml:space="preserve"> </w:t>
            </w:r>
            <w:r w:rsidRPr="004C5827">
              <w:t>above horizon)</w:t>
            </w:r>
          </w:p>
        </w:tc>
        <w:tc>
          <w:tcPr>
            <w:tcW w:w="4815" w:type="dxa"/>
            <w:vAlign w:val="center"/>
          </w:tcPr>
          <w:p w14:paraId="0E7284CA" w14:textId="77777777" w:rsidR="00CF02F3" w:rsidRPr="004C5827" w:rsidRDefault="00CF02F3" w:rsidP="00B77570">
            <w:pPr>
              <w:pStyle w:val="Tablehead"/>
            </w:pPr>
            <w:r w:rsidRPr="004C5827">
              <w:rPr>
                <w:rFonts w:eastAsia="SimSun"/>
              </w:rPr>
              <w:t xml:space="preserve">Expected </w:t>
            </w:r>
            <w:proofErr w:type="spellStart"/>
            <w:r w:rsidRPr="004C5827">
              <w:rPr>
                <w:rFonts w:eastAsia="SimSun"/>
              </w:rPr>
              <w:t>e.i.r.p</w:t>
            </w:r>
            <w:proofErr w:type="spellEnd"/>
            <w:r w:rsidRPr="004C5827">
              <w:rPr>
                <w:rFonts w:eastAsia="SimSun"/>
              </w:rPr>
              <w:t xml:space="preserve">. </w:t>
            </w:r>
            <w:r w:rsidRPr="004C5827">
              <w:rPr>
                <w:rFonts w:eastAsia="SimSun"/>
              </w:rPr>
              <w:br/>
              <w:t xml:space="preserve">(dBm/MHz) </w:t>
            </w:r>
            <w:r w:rsidRPr="004C5827">
              <w:rPr>
                <w:rFonts w:eastAsia="SimSun"/>
              </w:rPr>
              <w:br/>
              <w:t>(NOTES 1, 2, 3, 4)</w:t>
            </w:r>
          </w:p>
        </w:tc>
      </w:tr>
      <w:tr w:rsidR="00CF02F3" w:rsidRPr="004C5827" w14:paraId="4C0FDC57" w14:textId="77777777" w:rsidTr="00B77570">
        <w:tc>
          <w:tcPr>
            <w:tcW w:w="4814" w:type="dxa"/>
          </w:tcPr>
          <w:p w14:paraId="3BC370E7" w14:textId="77777777" w:rsidR="00CF02F3" w:rsidRPr="004C5827" w:rsidRDefault="00CF02F3" w:rsidP="00B77570">
            <w:pPr>
              <w:pStyle w:val="Tabletext"/>
              <w:keepNext/>
              <w:jc w:val="center"/>
            </w:pPr>
            <w:r w:rsidRPr="004C5827">
              <w:t>0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</w:t>
            </w:r>
            <w:r w:rsidRPr="004C5827">
              <w:rPr>
                <w:i/>
                <w:iCs/>
                <w:lang w:eastAsia="zh-CN"/>
              </w:rPr>
              <w:t xml:space="preserve"> </w:t>
            </w:r>
            <w:r w:rsidRPr="004C5827">
              <w:rPr>
                <w:lang w:eastAsia="zh-CN"/>
              </w:rPr>
              <w:t>θ &lt;</w:t>
            </w:r>
            <w:r w:rsidRPr="004C5827">
              <w:t xml:space="preserve"> 5</w:t>
            </w:r>
            <w:r w:rsidRPr="004C5827">
              <w:sym w:font="Symbol" w:char="F0B0"/>
            </w:r>
          </w:p>
        </w:tc>
        <w:tc>
          <w:tcPr>
            <w:tcW w:w="4815" w:type="dxa"/>
          </w:tcPr>
          <w:p w14:paraId="53CF201D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6.4</w:t>
            </w:r>
          </w:p>
        </w:tc>
      </w:tr>
      <w:tr w:rsidR="00CF02F3" w:rsidRPr="004C5827" w14:paraId="4A9D0271" w14:textId="77777777" w:rsidTr="00B77570">
        <w:tc>
          <w:tcPr>
            <w:tcW w:w="4814" w:type="dxa"/>
          </w:tcPr>
          <w:p w14:paraId="1784CD59" w14:textId="77777777" w:rsidR="00CF02F3" w:rsidRPr="004C5827" w:rsidRDefault="00CF02F3" w:rsidP="00B77570">
            <w:pPr>
              <w:pStyle w:val="Tabletext"/>
              <w:keepNext/>
              <w:jc w:val="center"/>
            </w:pPr>
            <w:r w:rsidRPr="004C5827">
              <w:t>5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</w:t>
            </w:r>
            <w:r w:rsidRPr="004C5827">
              <w:rPr>
                <w:i/>
                <w:iCs/>
                <w:lang w:eastAsia="zh-CN"/>
              </w:rPr>
              <w:t xml:space="preserve"> </w:t>
            </w:r>
            <w:r w:rsidRPr="004C5827">
              <w:rPr>
                <w:lang w:eastAsia="zh-CN"/>
              </w:rPr>
              <w:t>θ</w:t>
            </w:r>
            <w:r w:rsidRPr="004C5827">
              <w:rPr>
                <w:i/>
                <w:iCs/>
                <w:lang w:eastAsia="zh-CN"/>
              </w:rPr>
              <w:t xml:space="preserve"> </w:t>
            </w:r>
            <w:r w:rsidRPr="004C5827">
              <w:rPr>
                <w:lang w:eastAsia="zh-CN"/>
              </w:rPr>
              <w:t>&lt;</w:t>
            </w:r>
            <w:r w:rsidRPr="004C5827">
              <w:t xml:space="preserve"> 10</w:t>
            </w:r>
            <w:r w:rsidRPr="004C5827">
              <w:sym w:font="Symbol" w:char="F0B0"/>
            </w:r>
          </w:p>
        </w:tc>
        <w:tc>
          <w:tcPr>
            <w:tcW w:w="4815" w:type="dxa"/>
          </w:tcPr>
          <w:p w14:paraId="5CC69DB5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–0.7</w:t>
            </w:r>
          </w:p>
        </w:tc>
      </w:tr>
      <w:tr w:rsidR="00CF02F3" w:rsidRPr="004C5827" w14:paraId="31F4682A" w14:textId="77777777" w:rsidTr="00B77570">
        <w:tc>
          <w:tcPr>
            <w:tcW w:w="4814" w:type="dxa"/>
          </w:tcPr>
          <w:p w14:paraId="04739327" w14:textId="77777777" w:rsidR="00CF02F3" w:rsidRPr="004C5827" w:rsidRDefault="00CF02F3" w:rsidP="00B77570">
            <w:pPr>
              <w:pStyle w:val="Tabletext"/>
              <w:keepNext/>
              <w:jc w:val="center"/>
            </w:pPr>
            <w:r w:rsidRPr="004C5827">
              <w:t>10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 θ</w:t>
            </w:r>
            <w:r w:rsidRPr="004C5827">
              <w:rPr>
                <w:i/>
                <w:iCs/>
                <w:lang w:eastAsia="zh-CN"/>
              </w:rPr>
              <w:t xml:space="preserve"> </w:t>
            </w:r>
            <w:r w:rsidRPr="004C5827">
              <w:rPr>
                <w:lang w:eastAsia="zh-CN"/>
              </w:rPr>
              <w:t>&lt;</w:t>
            </w:r>
            <w:r w:rsidRPr="004C5827">
              <w:t xml:space="preserve"> 15</w:t>
            </w:r>
            <w:r w:rsidRPr="004C5827">
              <w:sym w:font="Symbol" w:char="F0B0"/>
            </w:r>
          </w:p>
        </w:tc>
        <w:tc>
          <w:tcPr>
            <w:tcW w:w="4815" w:type="dxa"/>
          </w:tcPr>
          <w:p w14:paraId="60E0FA6F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–4.3</w:t>
            </w:r>
          </w:p>
        </w:tc>
      </w:tr>
      <w:tr w:rsidR="00CF02F3" w:rsidRPr="004C5827" w14:paraId="0A1248C9" w14:textId="77777777" w:rsidTr="00B77570">
        <w:tc>
          <w:tcPr>
            <w:tcW w:w="4814" w:type="dxa"/>
          </w:tcPr>
          <w:p w14:paraId="084CE60F" w14:textId="77777777" w:rsidR="00CF02F3" w:rsidRPr="004C5827" w:rsidRDefault="00CF02F3" w:rsidP="00B77570">
            <w:pPr>
              <w:pStyle w:val="Tabletext"/>
              <w:keepNext/>
              <w:jc w:val="center"/>
            </w:pPr>
            <w:r w:rsidRPr="004C5827">
              <w:t>15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 θ &lt;</w:t>
            </w:r>
            <w:r w:rsidRPr="004C5827">
              <w:t xml:space="preserve"> 20</w:t>
            </w:r>
            <w:r w:rsidRPr="004C5827">
              <w:sym w:font="Symbol" w:char="F0B0"/>
            </w:r>
          </w:p>
        </w:tc>
        <w:tc>
          <w:tcPr>
            <w:tcW w:w="4815" w:type="dxa"/>
          </w:tcPr>
          <w:p w14:paraId="092275EA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–6.4</w:t>
            </w:r>
          </w:p>
        </w:tc>
      </w:tr>
      <w:tr w:rsidR="00CF02F3" w:rsidRPr="004C5827" w14:paraId="75234004" w14:textId="77777777" w:rsidTr="00B77570">
        <w:tc>
          <w:tcPr>
            <w:tcW w:w="4814" w:type="dxa"/>
          </w:tcPr>
          <w:p w14:paraId="7A7EF206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20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 θ &lt;</w:t>
            </w:r>
            <w:r w:rsidRPr="004C5827">
              <w:t xml:space="preserve"> 30</w:t>
            </w:r>
            <w:r w:rsidRPr="004C5827">
              <w:sym w:font="Symbol" w:char="F0B0"/>
            </w:r>
          </w:p>
        </w:tc>
        <w:tc>
          <w:tcPr>
            <w:tcW w:w="4815" w:type="dxa"/>
          </w:tcPr>
          <w:p w14:paraId="7317DA6B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–9.2</w:t>
            </w:r>
          </w:p>
        </w:tc>
      </w:tr>
      <w:tr w:rsidR="00CF02F3" w:rsidRPr="004C5827" w14:paraId="02A3321F" w14:textId="77777777" w:rsidTr="00B77570">
        <w:tc>
          <w:tcPr>
            <w:tcW w:w="4814" w:type="dxa"/>
          </w:tcPr>
          <w:p w14:paraId="645BD11D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30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 θ &lt;</w:t>
            </w:r>
            <w:r w:rsidRPr="004C5827">
              <w:t xml:space="preserve"> 60</w:t>
            </w:r>
            <w:r w:rsidRPr="004C5827">
              <w:sym w:font="Symbol" w:char="F0B0"/>
            </w:r>
          </w:p>
        </w:tc>
        <w:tc>
          <w:tcPr>
            <w:tcW w:w="4815" w:type="dxa"/>
          </w:tcPr>
          <w:p w14:paraId="31722286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–13.8</w:t>
            </w:r>
          </w:p>
        </w:tc>
      </w:tr>
      <w:tr w:rsidR="00CF02F3" w:rsidRPr="004C5827" w14:paraId="1B82F893" w14:textId="77777777" w:rsidTr="00B77570">
        <w:tc>
          <w:tcPr>
            <w:tcW w:w="4814" w:type="dxa"/>
            <w:tcBorders>
              <w:bottom w:val="single" w:sz="4" w:space="0" w:color="auto"/>
            </w:tcBorders>
          </w:tcPr>
          <w:p w14:paraId="49C66EA8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60</w:t>
            </w:r>
            <w:r w:rsidRPr="004C5827">
              <w:sym w:font="Symbol" w:char="F0B0"/>
            </w:r>
            <w:r w:rsidRPr="004C5827">
              <w:t xml:space="preserve"> </w:t>
            </w:r>
            <w:r w:rsidRPr="004C5827">
              <w:rPr>
                <w:lang w:eastAsia="zh-CN"/>
              </w:rPr>
              <w:t>≤ θ</w:t>
            </w:r>
            <w:r w:rsidRPr="004C5827">
              <w:rPr>
                <w:i/>
                <w:iCs/>
                <w:lang w:eastAsia="zh-CN"/>
              </w:rPr>
              <w:t xml:space="preserve"> </w:t>
            </w:r>
            <w:r w:rsidRPr="004C5827">
              <w:rPr>
                <w:lang w:eastAsia="zh-CN"/>
              </w:rPr>
              <w:t>≤</w:t>
            </w:r>
            <w:r w:rsidRPr="004C5827">
              <w:t xml:space="preserve"> 90</w:t>
            </w:r>
            <w:r w:rsidRPr="004C5827">
              <w:sym w:font="Symbol" w:char="F0B0"/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C9000FE" w14:textId="77777777" w:rsidR="00CF02F3" w:rsidRPr="004C5827" w:rsidRDefault="00CF02F3" w:rsidP="00B77570">
            <w:pPr>
              <w:pStyle w:val="Tabletext"/>
              <w:jc w:val="center"/>
            </w:pPr>
            <w:r w:rsidRPr="004C5827">
              <w:t>–20.7</w:t>
            </w:r>
          </w:p>
        </w:tc>
      </w:tr>
    </w:tbl>
    <w:p w14:paraId="12D6D55C" w14:textId="77777777" w:rsidR="00EB6CDE" w:rsidRPr="004C5827" w:rsidRDefault="00EB6CDE" w:rsidP="00EB6CDE"/>
    <w:p w14:paraId="56C3DAC0" w14:textId="77777777" w:rsidR="00EB6CDE" w:rsidRPr="004C5827" w:rsidRDefault="00EB6CDE" w:rsidP="00EB6CDE">
      <w:pPr>
        <w:pStyle w:val="Tabletitle"/>
      </w:pPr>
      <w:proofErr w:type="spellStart"/>
      <w:r w:rsidRPr="004C5827">
        <w:t>e.i.r.p</w:t>
      </w:r>
      <w:proofErr w:type="spellEnd"/>
      <w:r w:rsidRPr="004C5827">
        <w:t>. limits for IMT base stations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827"/>
      </w:tblGrid>
      <w:tr w:rsidR="00EB6CDE" w:rsidRPr="004C5827" w14:paraId="2F691894" w14:textId="77777777" w:rsidTr="006537B9">
        <w:trPr>
          <w:cantSplit/>
          <w:trHeight w:val="74"/>
          <w:tblHeader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D7A9" w14:textId="77777777" w:rsidR="00EB6CDE" w:rsidRPr="004C5827" w:rsidRDefault="00EB6CDE" w:rsidP="006537B9">
            <w:pPr>
              <w:pStyle w:val="Tablehead"/>
              <w:spacing w:line="256" w:lineRule="auto"/>
              <w:rPr>
                <w:rFonts w:eastAsia="Calibri"/>
              </w:rPr>
            </w:pPr>
            <w:r w:rsidRPr="004C5827">
              <w:rPr>
                <w:rFonts w:eastAsia="Calibri"/>
              </w:rPr>
              <w:t>Elevation angle (θ) degrees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350E" w14:textId="77777777" w:rsidR="00EB6CDE" w:rsidRPr="004C5827" w:rsidRDefault="00EB6CDE" w:rsidP="006537B9">
            <w:pPr>
              <w:pStyle w:val="TableNo"/>
              <w:spacing w:before="80" w:after="80" w:line="256" w:lineRule="auto"/>
              <w:rPr>
                <w:rFonts w:eastAsia="Calibri"/>
                <w:b/>
                <w:caps w:val="0"/>
              </w:rPr>
            </w:pPr>
            <w:r w:rsidRPr="004C5827">
              <w:rPr>
                <w:rFonts w:eastAsia="Calibri"/>
                <w:b/>
                <w:caps w:val="0"/>
              </w:rPr>
              <w:t xml:space="preserve">Maximum </w:t>
            </w:r>
            <w:proofErr w:type="spellStart"/>
            <w:r w:rsidRPr="004C5827">
              <w:rPr>
                <w:rFonts w:eastAsia="Calibri"/>
                <w:b/>
                <w:caps w:val="0"/>
              </w:rPr>
              <w:t>e.i.r.p</w:t>
            </w:r>
            <w:proofErr w:type="spellEnd"/>
            <w:r w:rsidRPr="004C5827">
              <w:rPr>
                <w:rFonts w:eastAsia="Calibri"/>
                <w:b/>
                <w:caps w:val="0"/>
              </w:rPr>
              <w:t xml:space="preserve">. </w:t>
            </w:r>
            <w:r w:rsidRPr="004C5827">
              <w:rPr>
                <w:rFonts w:eastAsia="Calibri"/>
                <w:b/>
                <w:caps w:val="0"/>
              </w:rPr>
              <w:br/>
            </w:r>
            <w:proofErr w:type="spellStart"/>
            <w:r w:rsidRPr="004C5827">
              <w:rPr>
                <w:rFonts w:eastAsia="Calibri"/>
                <w:b/>
                <w:caps w:val="0"/>
              </w:rPr>
              <w:t>dBW</w:t>
            </w:r>
            <w:proofErr w:type="spellEnd"/>
            <w:r w:rsidRPr="004C5827">
              <w:rPr>
                <w:rFonts w:eastAsia="Calibri"/>
                <w:b/>
                <w:caps w:val="0"/>
              </w:rPr>
              <w:t>/100 MHz</w:t>
            </w:r>
          </w:p>
        </w:tc>
      </w:tr>
      <w:tr w:rsidR="00EB6CDE" w:rsidRPr="004C5827" w14:paraId="28550D39" w14:textId="77777777" w:rsidTr="006537B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ABF9" w14:textId="77777777" w:rsidR="00EB6CDE" w:rsidRPr="004C5827" w:rsidRDefault="00EB6CDE" w:rsidP="006537B9">
            <w:pPr>
              <w:pStyle w:val="Tabletext"/>
              <w:keepNext/>
              <w:spacing w:line="256" w:lineRule="auto"/>
              <w:jc w:val="center"/>
              <w:rPr>
                <w:rFonts w:eastAsia="Calibri"/>
              </w:rPr>
            </w:pPr>
            <w:r w:rsidRPr="004C5827">
              <w:rPr>
                <w:rFonts w:eastAsia="Calibri"/>
              </w:rPr>
              <w:t>0 ≤ θ ≤ 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50DD" w14:textId="77777777" w:rsidR="00EB6CDE" w:rsidRPr="004C5827" w:rsidRDefault="00EB6CDE" w:rsidP="006537B9">
            <w:pPr>
              <w:pStyle w:val="Tabletext"/>
              <w:keepNext/>
              <w:spacing w:line="256" w:lineRule="auto"/>
              <w:jc w:val="center"/>
              <w:rPr>
                <w:rFonts w:eastAsia="Calibri"/>
              </w:rPr>
            </w:pPr>
            <w:r w:rsidRPr="004C5827">
              <w:rPr>
                <w:rFonts w:eastAsia="Calibri"/>
              </w:rPr>
              <w:t>30.7</w:t>
            </w:r>
          </w:p>
        </w:tc>
      </w:tr>
      <w:tr w:rsidR="00EB6CDE" w:rsidRPr="004C5827" w14:paraId="20D4B204" w14:textId="77777777" w:rsidTr="006537B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FC80" w14:textId="77777777" w:rsidR="00EB6CDE" w:rsidRPr="004C5827" w:rsidRDefault="00EB6CDE" w:rsidP="006537B9">
            <w:pPr>
              <w:pStyle w:val="Tabletext"/>
              <w:keepNext/>
              <w:spacing w:line="256" w:lineRule="auto"/>
              <w:jc w:val="center"/>
              <w:rPr>
                <w:rFonts w:eastAsia="Calibri"/>
              </w:rPr>
            </w:pPr>
            <w:r w:rsidRPr="004C5827">
              <w:rPr>
                <w:rFonts w:eastAsia="Calibri"/>
              </w:rPr>
              <w:t>1 &lt; θ ≤ 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AE90" w14:textId="77777777" w:rsidR="00EB6CDE" w:rsidRPr="004C5827" w:rsidRDefault="00EB6CDE" w:rsidP="006537B9">
            <w:pPr>
              <w:pStyle w:val="Tabletext"/>
              <w:jc w:val="center"/>
              <w:rPr>
                <w:rFonts w:eastAsia="Calibri"/>
              </w:rPr>
            </w:pPr>
            <w:r w:rsidRPr="004C5827">
              <w:rPr>
                <w:rFonts w:eastAsia="Calibri"/>
              </w:rPr>
              <w:t>30.7 – 1.777(θ – 1)</w:t>
            </w:r>
          </w:p>
        </w:tc>
      </w:tr>
      <w:tr w:rsidR="00EB6CDE" w:rsidRPr="004C5827" w14:paraId="1CDDDDE0" w14:textId="77777777" w:rsidTr="006537B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05EB" w14:textId="77777777" w:rsidR="00EB6CDE" w:rsidRPr="004C5827" w:rsidRDefault="00EB6CDE" w:rsidP="006537B9">
            <w:pPr>
              <w:pStyle w:val="Tabletext"/>
              <w:spacing w:line="256" w:lineRule="auto"/>
              <w:jc w:val="center"/>
              <w:rPr>
                <w:rFonts w:eastAsia="Calibri"/>
              </w:rPr>
            </w:pPr>
            <w:r w:rsidRPr="004C5827">
              <w:rPr>
                <w:rFonts w:eastAsia="Calibri"/>
              </w:rPr>
              <w:t>10 &lt; θ ≤ 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C045" w14:textId="77777777" w:rsidR="00EB6CDE" w:rsidRPr="004C5827" w:rsidRDefault="00EB6CDE" w:rsidP="006537B9">
            <w:pPr>
              <w:pStyle w:val="Tabletext"/>
              <w:jc w:val="center"/>
              <w:rPr>
                <w:rFonts w:eastAsia="Calibri"/>
              </w:rPr>
            </w:pPr>
            <w:r w:rsidRPr="004C5827">
              <w:rPr>
                <w:rFonts w:eastAsia="Calibri"/>
              </w:rPr>
              <w:t>14.7 – 0.239(θ – 10)</w:t>
            </w:r>
          </w:p>
        </w:tc>
      </w:tr>
    </w:tbl>
    <w:p w14:paraId="0695A6CE" w14:textId="77777777" w:rsidR="00EB6CDE" w:rsidRDefault="00EB6CDE" w:rsidP="00EB6CDE">
      <w:pPr>
        <w:rPr>
          <w:i/>
          <w:iCs/>
          <w:highlight w:val="yellow"/>
        </w:rPr>
      </w:pPr>
    </w:p>
    <w:p w14:paraId="6E42C6F0" w14:textId="77777777" w:rsidR="00EB6CDE" w:rsidRDefault="00EB6CDE" w:rsidP="00CF02F3">
      <w:pPr>
        <w:rPr>
          <w:i/>
          <w:iCs/>
          <w:highlight w:val="yellow"/>
        </w:rPr>
      </w:pPr>
    </w:p>
    <w:p w14:paraId="4AA95388" w14:textId="15F189DE" w:rsidR="00CF02F3" w:rsidRPr="005C2EF1" w:rsidRDefault="005C2EF1" w:rsidP="00CF02F3">
      <w:pPr>
        <w:rPr>
          <w:i/>
          <w:iCs/>
        </w:rPr>
      </w:pPr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65 Add.2Add.4 - EUR</w:t>
      </w:r>
      <w:r w:rsidRPr="00D43548">
        <w:rPr>
          <w:i/>
          <w:iCs/>
          <w:highlight w:val="yellow"/>
        </w:rPr>
        <w:t>]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3"/>
        <w:gridCol w:w="4516"/>
      </w:tblGrid>
      <w:tr w:rsidR="005C2EF1" w14:paraId="0119BA49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0AE2" w14:textId="77777777" w:rsidR="005C2EF1" w:rsidRDefault="005C2EF1" w:rsidP="00B77570">
            <w:pPr>
              <w:pStyle w:val="Tablehead"/>
              <w:rPr>
                <w:b w:val="0"/>
                <w:lang w:val="en-US" w:eastAsia="zh-CN"/>
              </w:rPr>
            </w:pPr>
            <w:r>
              <w:rPr>
                <w:color w:val="000000"/>
                <w:lang w:val="en-US"/>
              </w:rPr>
              <w:t>Vertical angle measurement window</w:t>
            </w:r>
            <w:r>
              <w:rPr>
                <w:color w:val="000000"/>
                <w:lang w:val="en-US"/>
              </w:rPr>
              <w:br/>
            </w:r>
            <w:proofErr w:type="spellStart"/>
            <w:r>
              <w:rPr>
                <w:color w:val="000000"/>
                <w:lang w:val="en-US"/>
              </w:rPr>
              <w:t>θ</w:t>
            </w:r>
            <w:r>
              <w:rPr>
                <w:color w:val="000000"/>
                <w:vertAlign w:val="subscript"/>
                <w:lang w:val="en-US"/>
              </w:rPr>
              <w:t>L</w:t>
            </w:r>
            <w:proofErr w:type="spellEnd"/>
            <w:r>
              <w:rPr>
                <w:color w:val="000000"/>
                <w:lang w:val="en-US"/>
              </w:rPr>
              <w:t> ≤ θ &lt; </w:t>
            </w:r>
            <w:proofErr w:type="spellStart"/>
            <w:r>
              <w:rPr>
                <w:color w:val="000000"/>
                <w:lang w:val="en-US"/>
              </w:rPr>
              <w:t>θ</w:t>
            </w:r>
            <w:r>
              <w:rPr>
                <w:color w:val="000000"/>
                <w:vertAlign w:val="subscript"/>
                <w:lang w:val="en-US"/>
              </w:rPr>
              <w:t>H</w:t>
            </w:r>
            <w:proofErr w:type="spellEnd"/>
            <w:r>
              <w:rPr>
                <w:color w:val="000000"/>
                <w:lang w:val="en-US"/>
              </w:rPr>
              <w:br/>
              <w:t>(vertical angle θ above horizon)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3A9E" w14:textId="77777777" w:rsidR="005C2EF1" w:rsidRDefault="005C2EF1" w:rsidP="00B77570">
            <w:pPr>
              <w:pStyle w:val="Tablehead"/>
              <w:rPr>
                <w:bCs/>
                <w:color w:val="000000"/>
                <w:lang w:val="en-US" w:eastAsia="zh-CN"/>
              </w:rPr>
            </w:pPr>
            <w:r>
              <w:rPr>
                <w:rFonts w:eastAsia="SimSun"/>
                <w:bCs/>
                <w:color w:val="000000"/>
                <w:lang w:val="en-US"/>
              </w:rPr>
              <w:t xml:space="preserve">Expected </w:t>
            </w:r>
            <w:proofErr w:type="spellStart"/>
            <w:r>
              <w:rPr>
                <w:rFonts w:eastAsia="SimSun"/>
                <w:bCs/>
                <w:color w:val="000000"/>
                <w:lang w:val="en-US" w:eastAsia="zh-CN"/>
              </w:rPr>
              <w:t>e.i.r.p</w:t>
            </w:r>
            <w:proofErr w:type="spellEnd"/>
            <w:r>
              <w:rPr>
                <w:rFonts w:eastAsia="SimSun"/>
                <w:bCs/>
                <w:color w:val="000000"/>
                <w:lang w:val="en-US" w:eastAsia="zh-CN"/>
              </w:rPr>
              <w:t xml:space="preserve">. </w:t>
            </w:r>
            <w:r>
              <w:rPr>
                <w:rFonts w:eastAsia="SimSun"/>
                <w:bCs/>
                <w:color w:val="000000"/>
                <w:lang w:val="en-US" w:eastAsia="zh-CN"/>
              </w:rPr>
              <w:br/>
              <w:t xml:space="preserve">(dBm/MHz) </w:t>
            </w:r>
            <w:r>
              <w:rPr>
                <w:rFonts w:eastAsia="SimSun"/>
                <w:bCs/>
                <w:color w:val="000000"/>
                <w:lang w:val="en-US" w:eastAsia="zh-CN"/>
              </w:rPr>
              <w:br/>
              <w:t xml:space="preserve">(NOTES 1, </w:t>
            </w:r>
            <w:r>
              <w:rPr>
                <w:rFonts w:eastAsia="SimSun" w:cs="Arial"/>
                <w:bCs/>
                <w:color w:val="000000"/>
                <w:lang w:val="en-US"/>
              </w:rPr>
              <w:t>2, 3</w:t>
            </w:r>
            <w:r>
              <w:rPr>
                <w:rFonts w:eastAsia="SimSun"/>
                <w:bCs/>
                <w:color w:val="000000"/>
                <w:lang w:val="en-US" w:eastAsia="zh-CN"/>
              </w:rPr>
              <w:t>)</w:t>
            </w:r>
          </w:p>
        </w:tc>
      </w:tr>
      <w:tr w:rsidR="005C2EF1" w14:paraId="332216AD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31CC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 xml:space="preserve"> ≤ θ &lt; 5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508E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</w:tr>
      <w:tr w:rsidR="005C2EF1" w14:paraId="4BE08257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C270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 xml:space="preserve"> ≤ θ &lt; 10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297C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</w:tr>
      <w:tr w:rsidR="005C2EF1" w14:paraId="4649DECA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2D07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15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5530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</w:tr>
      <w:tr w:rsidR="005C2EF1" w14:paraId="3712EC7D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C8BF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20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074D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</w:t>
            </w:r>
          </w:p>
        </w:tc>
      </w:tr>
      <w:tr w:rsidR="005C2EF1" w14:paraId="6350AF86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573E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30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CB93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5C2EF1" w14:paraId="4E212011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A1E4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&lt; 60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651E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</w:tr>
      <w:tr w:rsidR="005C2EF1" w14:paraId="5450DA9B" w14:textId="77777777" w:rsidTr="00B77570">
        <w:trPr>
          <w:jc w:val="center"/>
        </w:trPr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02DE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</w:t>
            </w:r>
            <w:r>
              <w:rPr>
                <w:color w:val="000000"/>
                <w:lang w:val="en-US"/>
              </w:rPr>
              <w:sym w:font="Symbol" w:char="F0B0"/>
            </w:r>
            <w:r>
              <w:rPr>
                <w:color w:val="000000"/>
                <w:lang w:val="en-US"/>
              </w:rPr>
              <w:t>≤ θ ≤ 90</w:t>
            </w:r>
            <w:r>
              <w:rPr>
                <w:color w:val="000000"/>
                <w:lang w:val="en-US"/>
              </w:rPr>
              <w:sym w:font="Symbol" w:char="F0B0"/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DE8E" w14:textId="77777777" w:rsidR="005C2EF1" w:rsidRDefault="005C2EF1" w:rsidP="00B77570">
            <w:pPr>
              <w:pStyle w:val="Tabletext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</w:t>
            </w:r>
          </w:p>
        </w:tc>
      </w:tr>
    </w:tbl>
    <w:p w14:paraId="774C769A" w14:textId="77777777" w:rsidR="00FA098F" w:rsidRPr="00FA098F" w:rsidRDefault="00FA098F" w:rsidP="00FA098F">
      <w:pPr>
        <w:rPr>
          <w:i/>
          <w:iCs/>
        </w:rPr>
      </w:pPr>
      <w:r w:rsidRPr="00D43548">
        <w:rPr>
          <w:i/>
          <w:iCs/>
          <w:highlight w:val="yellow"/>
        </w:rPr>
        <w:t>[</w:t>
      </w:r>
      <w:r>
        <w:rPr>
          <w:i/>
          <w:iCs/>
          <w:highlight w:val="yellow"/>
        </w:rPr>
        <w:t>85 Add.2 - RCC</w:t>
      </w:r>
      <w:r w:rsidRPr="00D43548">
        <w:rPr>
          <w:i/>
          <w:iCs/>
          <w:highlight w:val="yellow"/>
        </w:rPr>
        <w:t>]</w:t>
      </w:r>
    </w:p>
    <w:p w14:paraId="03B05E80" w14:textId="77777777" w:rsidR="00FA098F" w:rsidRPr="006E1CB2" w:rsidRDefault="00FA098F" w:rsidP="00FA098F">
      <w:pPr>
        <w:pStyle w:val="TableNo"/>
      </w:pPr>
      <w:r w:rsidRPr="006E1CB2">
        <w:t>Table</w:t>
      </w:r>
    </w:p>
    <w:p w14:paraId="2026171D" w14:textId="77777777" w:rsidR="00FA098F" w:rsidRPr="006E1CB2" w:rsidRDefault="00FA098F" w:rsidP="00FA098F">
      <w:pPr>
        <w:pStyle w:val="Tabletitle"/>
      </w:pPr>
      <w:r w:rsidRPr="000E2D42">
        <w:t>L</w:t>
      </w:r>
      <w:r w:rsidRPr="006E1CB2">
        <w:t xml:space="preserve">imitation of expected </w:t>
      </w:r>
      <w:proofErr w:type="spellStart"/>
      <w:r w:rsidRPr="006E1CB2">
        <w:t>e.i.r.p</w:t>
      </w:r>
      <w:proofErr w:type="spellEnd"/>
      <w:r w:rsidRPr="006E1CB2">
        <w:t xml:space="preserve">. spectral density for IMT base stations </w:t>
      </w:r>
      <w:r w:rsidRPr="006E1CB2">
        <w:br/>
        <w:t>as a function of the vertical angle above the horizon</w:t>
      </w:r>
    </w:p>
    <w:tbl>
      <w:tblPr>
        <w:tblStyle w:val="2"/>
        <w:tblW w:w="4786" w:type="pct"/>
        <w:jc w:val="center"/>
        <w:tblLayout w:type="fixed"/>
        <w:tblLook w:val="04A0" w:firstRow="1" w:lastRow="0" w:firstColumn="1" w:lastColumn="0" w:noHBand="0" w:noVBand="1"/>
      </w:tblPr>
      <w:tblGrid>
        <w:gridCol w:w="4312"/>
        <w:gridCol w:w="4905"/>
      </w:tblGrid>
      <w:tr w:rsidR="00FA098F" w:rsidRPr="006E1CB2" w14:paraId="126BFC85" w14:textId="77777777" w:rsidTr="00B77570">
        <w:trPr>
          <w:jc w:val="center"/>
        </w:trPr>
        <w:tc>
          <w:tcPr>
            <w:tcW w:w="2339" w:type="pct"/>
          </w:tcPr>
          <w:p w14:paraId="7051795E" w14:textId="77777777" w:rsidR="00FA098F" w:rsidRPr="006E1CB2" w:rsidRDefault="00FA098F" w:rsidP="00B77570">
            <w:pPr>
              <w:keepNext/>
              <w:spacing w:before="80" w:after="80"/>
              <w:jc w:val="center"/>
              <w:rPr>
                <w:b/>
                <w:sz w:val="20"/>
              </w:rPr>
            </w:pPr>
            <w:r w:rsidRPr="006E1CB2">
              <w:rPr>
                <w:b/>
                <w:sz w:val="20"/>
              </w:rPr>
              <w:t>Vertical angle above the horizon</w:t>
            </w:r>
          </w:p>
        </w:tc>
        <w:tc>
          <w:tcPr>
            <w:tcW w:w="2661" w:type="pct"/>
          </w:tcPr>
          <w:p w14:paraId="00A9F015" w14:textId="77777777" w:rsidR="00FA098F" w:rsidRPr="006E1CB2" w:rsidRDefault="00FA098F" w:rsidP="00B77570">
            <w:pPr>
              <w:keepNext/>
              <w:spacing w:before="80" w:after="80"/>
              <w:jc w:val="center"/>
              <w:rPr>
                <w:b/>
                <w:sz w:val="20"/>
              </w:rPr>
            </w:pPr>
            <w:r w:rsidRPr="006E1CB2">
              <w:rPr>
                <w:b/>
                <w:sz w:val="20"/>
              </w:rPr>
              <w:t xml:space="preserve">Expected </w:t>
            </w:r>
            <w:proofErr w:type="spellStart"/>
            <w:r w:rsidRPr="006E1CB2">
              <w:rPr>
                <w:b/>
                <w:sz w:val="20"/>
              </w:rPr>
              <w:t>e.i.r.p</w:t>
            </w:r>
            <w:proofErr w:type="spellEnd"/>
            <w:r w:rsidRPr="006E1CB2">
              <w:rPr>
                <w:b/>
                <w:sz w:val="20"/>
              </w:rPr>
              <w:t>. spectral density</w:t>
            </w:r>
            <w:r w:rsidRPr="006E1CB2">
              <w:rPr>
                <w:b/>
                <w:sz w:val="20"/>
              </w:rPr>
              <w:br/>
              <w:t xml:space="preserve">(dBm/MHz) </w:t>
            </w:r>
            <w:r w:rsidRPr="006E1CB2">
              <w:rPr>
                <w:b/>
                <w:sz w:val="20"/>
              </w:rPr>
              <w:br/>
              <w:t xml:space="preserve">(NOTES 1, 2, 3) </w:t>
            </w:r>
          </w:p>
        </w:tc>
      </w:tr>
      <w:tr w:rsidR="00FA098F" w:rsidRPr="006E1CB2" w14:paraId="364C1B40" w14:textId="77777777" w:rsidTr="00B77570">
        <w:trPr>
          <w:jc w:val="center"/>
        </w:trPr>
        <w:tc>
          <w:tcPr>
            <w:tcW w:w="2339" w:type="pct"/>
          </w:tcPr>
          <w:p w14:paraId="53C33835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0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5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03502FF2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32</w:t>
            </w:r>
          </w:p>
        </w:tc>
      </w:tr>
      <w:tr w:rsidR="00FA098F" w:rsidRPr="006E1CB2" w14:paraId="77B88578" w14:textId="77777777" w:rsidTr="00B77570">
        <w:trPr>
          <w:jc w:val="center"/>
        </w:trPr>
        <w:tc>
          <w:tcPr>
            <w:tcW w:w="2339" w:type="pct"/>
          </w:tcPr>
          <w:p w14:paraId="20BE32E8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5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10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3BB3B1CB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29</w:t>
            </w:r>
          </w:p>
        </w:tc>
      </w:tr>
      <w:tr w:rsidR="00FA098F" w:rsidRPr="006E1CB2" w14:paraId="77C754FD" w14:textId="77777777" w:rsidTr="00B77570">
        <w:trPr>
          <w:jc w:val="center"/>
        </w:trPr>
        <w:tc>
          <w:tcPr>
            <w:tcW w:w="2339" w:type="pct"/>
          </w:tcPr>
          <w:p w14:paraId="7CE54CCB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10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15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03BFFFDC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22</w:t>
            </w:r>
          </w:p>
        </w:tc>
      </w:tr>
      <w:tr w:rsidR="00FA098F" w:rsidRPr="006E1CB2" w14:paraId="6AA4C52D" w14:textId="77777777" w:rsidTr="00B77570">
        <w:trPr>
          <w:jc w:val="center"/>
        </w:trPr>
        <w:tc>
          <w:tcPr>
            <w:tcW w:w="2339" w:type="pct"/>
          </w:tcPr>
          <w:p w14:paraId="35146559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lastRenderedPageBreak/>
              <w:t>15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20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6A80CF7C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19</w:t>
            </w:r>
          </w:p>
        </w:tc>
      </w:tr>
      <w:tr w:rsidR="00FA098F" w:rsidRPr="006E1CB2" w14:paraId="2D5E4C8A" w14:textId="77777777" w:rsidTr="00B77570">
        <w:trPr>
          <w:jc w:val="center"/>
        </w:trPr>
        <w:tc>
          <w:tcPr>
            <w:tcW w:w="2339" w:type="pct"/>
          </w:tcPr>
          <w:p w14:paraId="4E2D3639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20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25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3786119C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17</w:t>
            </w:r>
          </w:p>
        </w:tc>
      </w:tr>
      <w:tr w:rsidR="00FA098F" w:rsidRPr="006E1CB2" w14:paraId="4B8BD02A" w14:textId="77777777" w:rsidTr="00B77570">
        <w:trPr>
          <w:jc w:val="center"/>
        </w:trPr>
        <w:tc>
          <w:tcPr>
            <w:tcW w:w="2339" w:type="pct"/>
          </w:tcPr>
          <w:p w14:paraId="15AB0CD2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25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30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5E17A117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15</w:t>
            </w:r>
          </w:p>
        </w:tc>
      </w:tr>
      <w:tr w:rsidR="00FA098F" w:rsidRPr="006E1CB2" w14:paraId="64065C6F" w14:textId="77777777" w:rsidTr="00B77570">
        <w:trPr>
          <w:jc w:val="center"/>
        </w:trPr>
        <w:tc>
          <w:tcPr>
            <w:tcW w:w="2339" w:type="pct"/>
          </w:tcPr>
          <w:p w14:paraId="4DBDA8CF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30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&lt; 60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0001E6F8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15</w:t>
            </w:r>
          </w:p>
        </w:tc>
      </w:tr>
      <w:tr w:rsidR="00FA098F" w:rsidRPr="006E1CB2" w14:paraId="3789E492" w14:textId="77777777" w:rsidTr="00B77570">
        <w:trPr>
          <w:jc w:val="center"/>
        </w:trPr>
        <w:tc>
          <w:tcPr>
            <w:tcW w:w="2339" w:type="pct"/>
          </w:tcPr>
          <w:p w14:paraId="6314EBD6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60</w:t>
            </w:r>
            <w:r w:rsidRPr="006E1CB2">
              <w:rPr>
                <w:sz w:val="20"/>
              </w:rPr>
              <w:sym w:font="Symbol" w:char="F0B0"/>
            </w:r>
            <w:r w:rsidRPr="006E1CB2">
              <w:rPr>
                <w:sz w:val="20"/>
              </w:rPr>
              <w:t xml:space="preserve"> ≤ θ ≤ 90</w:t>
            </w:r>
            <w:r w:rsidRPr="006E1CB2">
              <w:rPr>
                <w:sz w:val="20"/>
              </w:rPr>
              <w:sym w:font="Symbol" w:char="F0B0"/>
            </w:r>
          </w:p>
        </w:tc>
        <w:tc>
          <w:tcPr>
            <w:tcW w:w="2661" w:type="pct"/>
          </w:tcPr>
          <w:p w14:paraId="34A84C75" w14:textId="77777777" w:rsidR="00FA098F" w:rsidRPr="006E1CB2" w:rsidRDefault="00FA098F" w:rsidP="00B7757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sz w:val="20"/>
              </w:rPr>
            </w:pPr>
            <w:r w:rsidRPr="006E1CB2">
              <w:rPr>
                <w:sz w:val="20"/>
              </w:rPr>
              <w:t>15</w:t>
            </w:r>
          </w:p>
        </w:tc>
      </w:tr>
    </w:tbl>
    <w:p w14:paraId="40127421" w14:textId="77777777" w:rsidR="00FA098F" w:rsidRPr="006E1CB2" w:rsidRDefault="00FA098F" w:rsidP="00FA098F">
      <w:pPr>
        <w:pStyle w:val="Tablefin"/>
      </w:pPr>
    </w:p>
    <w:p w14:paraId="487AA045" w14:textId="65378C91" w:rsidR="00F12027" w:rsidRPr="00F12027" w:rsidRDefault="00F12027" w:rsidP="00F12027">
      <w:pPr>
        <w:pStyle w:val="Proposal"/>
        <w:rPr>
          <w:b w:val="0"/>
          <w:bCs/>
          <w:i/>
          <w:iCs/>
        </w:rPr>
      </w:pPr>
      <w:r w:rsidRPr="005B1D85">
        <w:rPr>
          <w:b w:val="0"/>
          <w:bCs/>
          <w:i/>
          <w:iCs/>
          <w:highlight w:val="yellow"/>
        </w:rPr>
        <w:t>[87 Add</w:t>
      </w:r>
      <w:r w:rsidRPr="00C15422">
        <w:rPr>
          <w:b w:val="0"/>
          <w:bCs/>
          <w:i/>
          <w:iCs/>
          <w:highlight w:val="yellow"/>
        </w:rPr>
        <w:t xml:space="preserve">.2 </w:t>
      </w:r>
      <w:r w:rsidR="000501F0" w:rsidRPr="00C15422">
        <w:rPr>
          <w:b w:val="0"/>
          <w:bCs/>
          <w:i/>
          <w:iCs/>
          <w:highlight w:val="yellow"/>
        </w:rPr>
        <w:t>–</w:t>
      </w:r>
      <w:r w:rsidRPr="00C15422">
        <w:rPr>
          <w:b w:val="0"/>
          <w:bCs/>
          <w:i/>
          <w:iCs/>
          <w:highlight w:val="yellow"/>
        </w:rPr>
        <w:t xml:space="preserve"> AFCP</w:t>
      </w:r>
      <w:r w:rsidR="000501F0" w:rsidRPr="00C15422">
        <w:rPr>
          <w:b w:val="0"/>
          <w:bCs/>
          <w:i/>
          <w:iCs/>
          <w:highlight w:val="yellow"/>
        </w:rPr>
        <w:t>,</w:t>
      </w:r>
      <w:r w:rsidR="000501F0" w:rsidRPr="00C15422">
        <w:rPr>
          <w:bCs/>
          <w:i/>
          <w:iCs/>
          <w:highlight w:val="yellow"/>
        </w:rPr>
        <w:t xml:space="preserve"> </w:t>
      </w:r>
      <w:r w:rsidR="000501F0" w:rsidRPr="00C15422">
        <w:rPr>
          <w:b w:val="0"/>
          <w:bCs/>
          <w:i/>
          <w:iCs/>
          <w:highlight w:val="yellow"/>
        </w:rPr>
        <w:t xml:space="preserve">100 Add.2Add.1 </w:t>
      </w:r>
      <w:r w:rsidR="00C15422" w:rsidRPr="00C15422">
        <w:rPr>
          <w:b w:val="0"/>
          <w:bCs/>
          <w:i/>
          <w:iCs/>
          <w:highlight w:val="yellow"/>
        </w:rPr>
        <w:t>–</w:t>
      </w:r>
      <w:r w:rsidR="000501F0" w:rsidRPr="00C15422">
        <w:rPr>
          <w:b w:val="0"/>
          <w:bCs/>
          <w:i/>
          <w:iCs/>
          <w:highlight w:val="yellow"/>
        </w:rPr>
        <w:t xml:space="preserve"> ARB</w:t>
      </w:r>
      <w:r w:rsidR="00C15422" w:rsidRPr="00C15422">
        <w:rPr>
          <w:b w:val="0"/>
          <w:bCs/>
          <w:i/>
          <w:iCs/>
          <w:highlight w:val="yellow"/>
        </w:rPr>
        <w:t xml:space="preserve">, 161 Add.2 </w:t>
      </w:r>
      <w:r w:rsidR="00AB05C4">
        <w:rPr>
          <w:b w:val="0"/>
          <w:bCs/>
          <w:i/>
          <w:iCs/>
          <w:highlight w:val="yellow"/>
        </w:rPr>
        <w:t>–</w:t>
      </w:r>
      <w:r w:rsidR="00C15422" w:rsidRPr="00C15422">
        <w:rPr>
          <w:b w:val="0"/>
          <w:bCs/>
          <w:i/>
          <w:iCs/>
          <w:highlight w:val="yellow"/>
        </w:rPr>
        <w:t xml:space="preserve"> AFS</w:t>
      </w:r>
      <w:r w:rsidR="00AB05C4">
        <w:rPr>
          <w:b w:val="0"/>
          <w:bCs/>
          <w:i/>
          <w:iCs/>
          <w:highlight w:val="yellow"/>
        </w:rPr>
        <w:t xml:space="preserve">, </w:t>
      </w:r>
      <w:r w:rsidR="00AB05C4" w:rsidRPr="006638A1">
        <w:rPr>
          <w:b w:val="0"/>
          <w:bCs/>
          <w:i/>
          <w:iCs/>
          <w:highlight w:val="yellow"/>
        </w:rPr>
        <w:t>181 - CBG/CHN/LAO/MLD/BRM/CLN</w:t>
      </w:r>
      <w:r w:rsidRPr="00C15422">
        <w:rPr>
          <w:b w:val="0"/>
          <w:bCs/>
          <w:i/>
          <w:iCs/>
          <w:highlight w:val="yellow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5"/>
      </w:tblGrid>
      <w:tr w:rsidR="00F12027" w:rsidRPr="002E7EF2" w14:paraId="58996D66" w14:textId="77777777" w:rsidTr="00B77570">
        <w:tc>
          <w:tcPr>
            <w:tcW w:w="4814" w:type="dxa"/>
            <w:vAlign w:val="center"/>
          </w:tcPr>
          <w:p w14:paraId="00AFC7A7" w14:textId="77777777" w:rsidR="00F12027" w:rsidRPr="002E7EF2" w:rsidRDefault="00F12027" w:rsidP="00B77570">
            <w:pPr>
              <w:pStyle w:val="Tablehead"/>
            </w:pPr>
            <w:r w:rsidRPr="002E7EF2">
              <w:t xml:space="preserve">Vertical angle measurement window </w:t>
            </w:r>
            <w:r w:rsidRPr="002E7EF2">
              <w:br/>
            </w:r>
            <w:proofErr w:type="spellStart"/>
            <w:r w:rsidRPr="002E7EF2">
              <w:rPr>
                <w:lang w:eastAsia="zh-CN"/>
              </w:rPr>
              <w:t>θ</w:t>
            </w:r>
            <w:r w:rsidRPr="002E7EF2">
              <w:rPr>
                <w:i/>
                <w:iCs/>
                <w:vertAlign w:val="subscript"/>
                <w:lang w:eastAsia="zh-CN"/>
              </w:rPr>
              <w:t>L</w:t>
            </w:r>
            <w:proofErr w:type="spellEnd"/>
            <w:r w:rsidRPr="002E7EF2">
              <w:rPr>
                <w:i/>
                <w:iCs/>
                <w:vertAlign w:val="subscript"/>
                <w:lang w:eastAsia="zh-CN"/>
              </w:rPr>
              <w:t xml:space="preserve"> </w:t>
            </w:r>
            <w:r w:rsidRPr="002E7EF2">
              <w:rPr>
                <w:i/>
                <w:iCs/>
                <w:lang w:eastAsia="zh-CN"/>
              </w:rPr>
              <w:t xml:space="preserve">≤ </w:t>
            </w:r>
            <w:r w:rsidRPr="002E7EF2">
              <w:rPr>
                <w:lang w:eastAsia="zh-CN"/>
              </w:rPr>
              <w:t>θ</w:t>
            </w:r>
            <w:r w:rsidRPr="002E7EF2">
              <w:rPr>
                <w:i/>
                <w:iCs/>
                <w:lang w:eastAsia="zh-CN"/>
              </w:rPr>
              <w:t xml:space="preserve"> &lt; </w:t>
            </w:r>
            <w:proofErr w:type="spellStart"/>
            <w:r w:rsidRPr="002E7EF2">
              <w:rPr>
                <w:lang w:eastAsia="zh-CN"/>
              </w:rPr>
              <w:t>θ</w:t>
            </w:r>
            <w:r w:rsidRPr="002E7EF2">
              <w:rPr>
                <w:i/>
                <w:iCs/>
                <w:vertAlign w:val="subscript"/>
                <w:lang w:eastAsia="zh-CN"/>
              </w:rPr>
              <w:t>H</w:t>
            </w:r>
            <w:proofErr w:type="spellEnd"/>
            <w:r w:rsidRPr="002E7EF2">
              <w:t xml:space="preserve"> </w:t>
            </w:r>
            <w:r w:rsidRPr="002E7EF2">
              <w:br/>
              <w:t xml:space="preserve">(vertical angle </w:t>
            </w:r>
            <w:r w:rsidRPr="002E7EF2">
              <w:rPr>
                <w:lang w:eastAsia="zh-CN"/>
              </w:rPr>
              <w:t>θ</w:t>
            </w:r>
            <w:r w:rsidRPr="002E7EF2">
              <w:rPr>
                <w:i/>
                <w:iCs/>
                <w:lang w:eastAsia="zh-CN"/>
              </w:rPr>
              <w:t xml:space="preserve"> </w:t>
            </w:r>
            <w:r w:rsidRPr="002E7EF2">
              <w:t>above horizon)</w:t>
            </w:r>
          </w:p>
        </w:tc>
        <w:tc>
          <w:tcPr>
            <w:tcW w:w="4815" w:type="dxa"/>
            <w:vAlign w:val="center"/>
          </w:tcPr>
          <w:p w14:paraId="728AF9AE" w14:textId="77777777" w:rsidR="00F12027" w:rsidRPr="002E7EF2" w:rsidRDefault="00F12027" w:rsidP="00B77570">
            <w:pPr>
              <w:pStyle w:val="Tablehead"/>
            </w:pPr>
            <w:r w:rsidRPr="002E7EF2">
              <w:rPr>
                <w:rFonts w:eastAsia="SimSun"/>
              </w:rPr>
              <w:t xml:space="preserve">Expected </w:t>
            </w:r>
            <w:proofErr w:type="spellStart"/>
            <w:r w:rsidRPr="002E7EF2">
              <w:rPr>
                <w:rFonts w:eastAsia="SimSun"/>
              </w:rPr>
              <w:t>e.i.r.p</w:t>
            </w:r>
            <w:proofErr w:type="spellEnd"/>
            <w:r w:rsidRPr="002E7EF2">
              <w:rPr>
                <w:rFonts w:eastAsia="SimSun"/>
              </w:rPr>
              <w:t xml:space="preserve">. </w:t>
            </w:r>
            <w:r w:rsidRPr="002E7EF2">
              <w:rPr>
                <w:rFonts w:eastAsia="SimSun"/>
              </w:rPr>
              <w:br/>
              <w:t xml:space="preserve">(dBm/MHz) </w:t>
            </w:r>
            <w:r w:rsidRPr="002E7EF2">
              <w:rPr>
                <w:rFonts w:eastAsia="SimSun"/>
              </w:rPr>
              <w:br/>
              <w:t>(NOTE 1)</w:t>
            </w:r>
          </w:p>
        </w:tc>
      </w:tr>
      <w:tr w:rsidR="00F12027" w:rsidRPr="002E7EF2" w14:paraId="7ED8FD15" w14:textId="77777777" w:rsidTr="00B77570">
        <w:tc>
          <w:tcPr>
            <w:tcW w:w="4814" w:type="dxa"/>
          </w:tcPr>
          <w:p w14:paraId="1106C3D7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0</w:t>
            </w:r>
            <w:r w:rsidRPr="002E7EF2">
              <w:sym w:font="Symbol" w:char="F0B0"/>
            </w:r>
            <w:r w:rsidRPr="002E7EF2">
              <w:t xml:space="preserve"> ≤ θ &lt; 5</w:t>
            </w:r>
            <w:r w:rsidRPr="002E7EF2">
              <w:sym w:font="Symbol" w:char="F0B0"/>
            </w:r>
          </w:p>
        </w:tc>
        <w:tc>
          <w:tcPr>
            <w:tcW w:w="4815" w:type="dxa"/>
          </w:tcPr>
          <w:p w14:paraId="4B93C428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32</w:t>
            </w:r>
          </w:p>
        </w:tc>
      </w:tr>
      <w:tr w:rsidR="00F12027" w:rsidRPr="002E7EF2" w14:paraId="679787D5" w14:textId="77777777" w:rsidTr="00B77570">
        <w:tc>
          <w:tcPr>
            <w:tcW w:w="4814" w:type="dxa"/>
          </w:tcPr>
          <w:p w14:paraId="65720490" w14:textId="77777777" w:rsidR="00F12027" w:rsidRPr="002E7EF2" w:rsidRDefault="00F12027" w:rsidP="00B77570">
            <w:pPr>
              <w:pStyle w:val="Tabletext"/>
              <w:keepNext/>
              <w:tabs>
                <w:tab w:val="clear" w:pos="1871"/>
                <w:tab w:val="clear" w:pos="2268"/>
                <w:tab w:val="left" w:pos="1869"/>
                <w:tab w:val="left" w:pos="2294"/>
              </w:tabs>
              <w:jc w:val="center"/>
            </w:pPr>
            <w:r w:rsidRPr="002E7EF2">
              <w:t>5</w:t>
            </w:r>
            <w:r w:rsidRPr="002E7EF2">
              <w:sym w:font="Symbol" w:char="F0B0"/>
            </w:r>
            <w:r w:rsidRPr="002E7EF2">
              <w:t xml:space="preserve"> ≤ θ &lt; 10</w:t>
            </w:r>
            <w:r w:rsidRPr="002E7EF2">
              <w:sym w:font="Symbol" w:char="F0B0"/>
            </w:r>
          </w:p>
        </w:tc>
        <w:tc>
          <w:tcPr>
            <w:tcW w:w="4815" w:type="dxa"/>
          </w:tcPr>
          <w:p w14:paraId="622604EB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28</w:t>
            </w:r>
          </w:p>
        </w:tc>
      </w:tr>
      <w:tr w:rsidR="00F12027" w:rsidRPr="002E7EF2" w14:paraId="0325FCC1" w14:textId="77777777" w:rsidTr="00B77570">
        <w:tc>
          <w:tcPr>
            <w:tcW w:w="4814" w:type="dxa"/>
          </w:tcPr>
          <w:p w14:paraId="3B42D5C3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10</w:t>
            </w:r>
            <w:r w:rsidRPr="002E7EF2">
              <w:sym w:font="Symbol" w:char="F0B0"/>
            </w:r>
            <w:r w:rsidRPr="002E7EF2">
              <w:t xml:space="preserve"> </w:t>
            </w:r>
            <w:r w:rsidRPr="002E7EF2">
              <w:rPr>
                <w:lang w:eastAsia="zh-CN"/>
              </w:rPr>
              <w:t>≤ θ</w:t>
            </w:r>
            <w:r w:rsidRPr="002E7EF2">
              <w:rPr>
                <w:i/>
                <w:iCs/>
                <w:lang w:eastAsia="zh-CN"/>
              </w:rPr>
              <w:t xml:space="preserve"> </w:t>
            </w:r>
            <w:r w:rsidRPr="002E7EF2">
              <w:rPr>
                <w:lang w:eastAsia="zh-CN"/>
              </w:rPr>
              <w:t>&lt;</w:t>
            </w:r>
            <w:r w:rsidRPr="002E7EF2">
              <w:t xml:space="preserve"> 15</w:t>
            </w:r>
            <w:r w:rsidRPr="002E7EF2">
              <w:sym w:font="Symbol" w:char="F0B0"/>
            </w:r>
          </w:p>
        </w:tc>
        <w:tc>
          <w:tcPr>
            <w:tcW w:w="4815" w:type="dxa"/>
          </w:tcPr>
          <w:p w14:paraId="0E0F7C73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24</w:t>
            </w:r>
          </w:p>
        </w:tc>
      </w:tr>
      <w:tr w:rsidR="00F12027" w:rsidRPr="002E7EF2" w14:paraId="76BF46ED" w14:textId="77777777" w:rsidTr="00B77570">
        <w:tc>
          <w:tcPr>
            <w:tcW w:w="4814" w:type="dxa"/>
          </w:tcPr>
          <w:p w14:paraId="635E3BB2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15</w:t>
            </w:r>
            <w:r w:rsidRPr="002E7EF2">
              <w:sym w:font="Symbol" w:char="F0B0"/>
            </w:r>
            <w:r w:rsidRPr="002E7EF2">
              <w:t xml:space="preserve"> </w:t>
            </w:r>
            <w:r w:rsidRPr="002E7EF2">
              <w:rPr>
                <w:lang w:eastAsia="zh-CN"/>
              </w:rPr>
              <w:t>≤ θ &lt;</w:t>
            </w:r>
            <w:r w:rsidRPr="002E7EF2">
              <w:t xml:space="preserve"> 20</w:t>
            </w:r>
            <w:r w:rsidRPr="002E7EF2">
              <w:sym w:font="Symbol" w:char="F0B0"/>
            </w:r>
          </w:p>
        </w:tc>
        <w:tc>
          <w:tcPr>
            <w:tcW w:w="4815" w:type="dxa"/>
          </w:tcPr>
          <w:p w14:paraId="312515BA" w14:textId="77777777" w:rsidR="00F12027" w:rsidRPr="002E7EF2" w:rsidRDefault="00F12027" w:rsidP="00B77570">
            <w:pPr>
              <w:pStyle w:val="Tabletext"/>
              <w:keepNext/>
              <w:jc w:val="center"/>
            </w:pPr>
            <w:r w:rsidRPr="002E7EF2">
              <w:t>24</w:t>
            </w:r>
          </w:p>
        </w:tc>
      </w:tr>
      <w:tr w:rsidR="00F12027" w:rsidRPr="002E7EF2" w14:paraId="3D9B52AC" w14:textId="77777777" w:rsidTr="00B77570">
        <w:tc>
          <w:tcPr>
            <w:tcW w:w="4814" w:type="dxa"/>
          </w:tcPr>
          <w:p w14:paraId="2310E171" w14:textId="77777777" w:rsidR="00F12027" w:rsidRPr="002E7EF2" w:rsidRDefault="00F12027" w:rsidP="00B77570">
            <w:pPr>
              <w:pStyle w:val="Tabletext"/>
              <w:jc w:val="center"/>
            </w:pPr>
            <w:r w:rsidRPr="002E7EF2">
              <w:t>20</w:t>
            </w:r>
            <w:r w:rsidRPr="002E7EF2">
              <w:sym w:font="Symbol" w:char="F0B0"/>
            </w:r>
            <w:r w:rsidRPr="002E7EF2">
              <w:t xml:space="preserve"> </w:t>
            </w:r>
            <w:r w:rsidRPr="002E7EF2">
              <w:rPr>
                <w:lang w:eastAsia="zh-CN"/>
              </w:rPr>
              <w:t>≤ θ &lt;</w:t>
            </w:r>
            <w:r w:rsidRPr="002E7EF2">
              <w:t xml:space="preserve"> 30</w:t>
            </w:r>
            <w:r w:rsidRPr="002E7EF2">
              <w:sym w:font="Symbol" w:char="F0B0"/>
            </w:r>
          </w:p>
        </w:tc>
        <w:tc>
          <w:tcPr>
            <w:tcW w:w="4815" w:type="dxa"/>
          </w:tcPr>
          <w:p w14:paraId="59A582E4" w14:textId="77777777" w:rsidR="00F12027" w:rsidRPr="002E7EF2" w:rsidRDefault="00F12027" w:rsidP="00B77570">
            <w:pPr>
              <w:pStyle w:val="Tabletext"/>
              <w:jc w:val="center"/>
            </w:pPr>
            <w:r w:rsidRPr="002E7EF2">
              <w:t>20</w:t>
            </w:r>
          </w:p>
        </w:tc>
      </w:tr>
      <w:tr w:rsidR="00F12027" w:rsidRPr="002E7EF2" w14:paraId="6EB3B313" w14:textId="77777777" w:rsidTr="00B77570">
        <w:tc>
          <w:tcPr>
            <w:tcW w:w="4814" w:type="dxa"/>
          </w:tcPr>
          <w:p w14:paraId="0ABF7544" w14:textId="77777777" w:rsidR="00F12027" w:rsidRPr="002E7EF2" w:rsidRDefault="00F12027" w:rsidP="00B77570">
            <w:pPr>
              <w:pStyle w:val="Tabletext"/>
              <w:jc w:val="center"/>
            </w:pPr>
            <w:r w:rsidRPr="002E7EF2">
              <w:t>30</w:t>
            </w:r>
            <w:r w:rsidRPr="002E7EF2">
              <w:sym w:font="Symbol" w:char="F0B0"/>
            </w:r>
            <w:r w:rsidRPr="002E7EF2">
              <w:t xml:space="preserve"> </w:t>
            </w:r>
            <w:r w:rsidRPr="002E7EF2">
              <w:rPr>
                <w:lang w:eastAsia="zh-CN"/>
              </w:rPr>
              <w:t>≤ θ &lt;</w:t>
            </w:r>
            <w:r w:rsidRPr="002E7EF2">
              <w:t xml:space="preserve"> 60</w:t>
            </w:r>
            <w:r w:rsidRPr="002E7EF2">
              <w:sym w:font="Symbol" w:char="F0B0"/>
            </w:r>
          </w:p>
        </w:tc>
        <w:tc>
          <w:tcPr>
            <w:tcW w:w="4815" w:type="dxa"/>
          </w:tcPr>
          <w:p w14:paraId="6E0270F1" w14:textId="77777777" w:rsidR="00F12027" w:rsidRPr="002E7EF2" w:rsidRDefault="00F12027" w:rsidP="00B77570">
            <w:pPr>
              <w:pStyle w:val="Tabletext"/>
              <w:jc w:val="center"/>
            </w:pPr>
            <w:r w:rsidRPr="002E7EF2">
              <w:t>18</w:t>
            </w:r>
          </w:p>
        </w:tc>
      </w:tr>
      <w:tr w:rsidR="00F12027" w:rsidRPr="002E7EF2" w14:paraId="72ABCA05" w14:textId="77777777" w:rsidTr="00B77570">
        <w:tc>
          <w:tcPr>
            <w:tcW w:w="4814" w:type="dxa"/>
            <w:tcBorders>
              <w:bottom w:val="single" w:sz="4" w:space="0" w:color="auto"/>
            </w:tcBorders>
          </w:tcPr>
          <w:p w14:paraId="7EE9E4E6" w14:textId="77777777" w:rsidR="00F12027" w:rsidRPr="002E7EF2" w:rsidRDefault="00F12027" w:rsidP="00B77570">
            <w:pPr>
              <w:pStyle w:val="Tabletext"/>
              <w:jc w:val="center"/>
            </w:pPr>
            <w:r w:rsidRPr="002E7EF2">
              <w:t>60</w:t>
            </w:r>
            <w:r w:rsidRPr="002E7EF2">
              <w:sym w:font="Symbol" w:char="F0B0"/>
            </w:r>
            <w:r w:rsidRPr="002E7EF2">
              <w:t xml:space="preserve"> </w:t>
            </w:r>
            <w:r w:rsidRPr="002E7EF2">
              <w:rPr>
                <w:lang w:eastAsia="zh-CN"/>
              </w:rPr>
              <w:t>≤ θ</w:t>
            </w:r>
            <w:r w:rsidRPr="002E7EF2">
              <w:rPr>
                <w:i/>
                <w:iCs/>
                <w:lang w:eastAsia="zh-CN"/>
              </w:rPr>
              <w:t xml:space="preserve"> </w:t>
            </w:r>
            <w:r w:rsidRPr="002E7EF2">
              <w:rPr>
                <w:lang w:eastAsia="zh-CN"/>
              </w:rPr>
              <w:t>≤</w:t>
            </w:r>
            <w:r w:rsidRPr="002E7EF2">
              <w:t xml:space="preserve"> 90</w:t>
            </w:r>
            <w:r w:rsidRPr="002E7EF2">
              <w:sym w:font="Symbol" w:char="F0B0"/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6DFF3547" w14:textId="77777777" w:rsidR="00F12027" w:rsidRPr="002E7EF2" w:rsidRDefault="00F12027" w:rsidP="00B77570">
            <w:pPr>
              <w:pStyle w:val="Tabletext"/>
              <w:jc w:val="center"/>
            </w:pPr>
            <w:r w:rsidRPr="002E7EF2">
              <w:t>17</w:t>
            </w:r>
          </w:p>
        </w:tc>
      </w:tr>
    </w:tbl>
    <w:p w14:paraId="121946F6" w14:textId="77777777" w:rsidR="00605B94" w:rsidRPr="002E7EF2" w:rsidRDefault="00605B94" w:rsidP="00397D9C">
      <w:pPr>
        <w:rPr>
          <w:lang w:eastAsia="ja-JP"/>
        </w:rPr>
      </w:pPr>
    </w:p>
    <w:sectPr w:rsidR="00605B94" w:rsidRPr="002E7EF2">
      <w:headerReference w:type="default" r:id="rId14"/>
      <w:footerReference w:type="even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095F" w14:textId="77777777" w:rsidR="0017232B" w:rsidRDefault="0017232B">
      <w:r>
        <w:separator/>
      </w:r>
    </w:p>
  </w:endnote>
  <w:endnote w:type="continuationSeparator" w:id="0">
    <w:p w14:paraId="56C31AED" w14:textId="77777777" w:rsidR="0017232B" w:rsidRDefault="0017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63F5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E395EC8" w14:textId="73A2E95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B6CDE">
      <w:rPr>
        <w:noProof/>
      </w:rPr>
      <w:t>28.11.23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C446" w14:textId="77777777" w:rsidR="0017232B" w:rsidRDefault="0017232B">
      <w:r>
        <w:rPr>
          <w:b/>
        </w:rPr>
        <w:t>_______________</w:t>
      </w:r>
    </w:p>
  </w:footnote>
  <w:footnote w:type="continuationSeparator" w:id="0">
    <w:p w14:paraId="487E8AC5" w14:textId="77777777" w:rsidR="0017232B" w:rsidRDefault="0017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BE7E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2757DA6A" w14:textId="3D2C087E" w:rsidR="00A066F1" w:rsidRPr="00A066F1" w:rsidRDefault="00A066F1" w:rsidP="00241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3AB022CF"/>
    <w:multiLevelType w:val="hybridMultilevel"/>
    <w:tmpl w:val="44C006C8"/>
    <w:lvl w:ilvl="0" w:tplc="6568AED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315B6"/>
    <w:multiLevelType w:val="hybridMultilevel"/>
    <w:tmpl w:val="24A429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737318">
    <w:abstractNumId w:val="0"/>
  </w:num>
  <w:num w:numId="2" w16cid:durableId="108260775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722552594">
    <w:abstractNumId w:val="3"/>
  </w:num>
  <w:num w:numId="4" w16cid:durableId="66850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0B8A"/>
    <w:rsid w:val="000041EA"/>
    <w:rsid w:val="00010ACA"/>
    <w:rsid w:val="000128A2"/>
    <w:rsid w:val="00022A29"/>
    <w:rsid w:val="000355FD"/>
    <w:rsid w:val="000501F0"/>
    <w:rsid w:val="00051E39"/>
    <w:rsid w:val="000705F2"/>
    <w:rsid w:val="0007670E"/>
    <w:rsid w:val="00077239"/>
    <w:rsid w:val="0007795D"/>
    <w:rsid w:val="00086491"/>
    <w:rsid w:val="00091346"/>
    <w:rsid w:val="00094003"/>
    <w:rsid w:val="00095C08"/>
    <w:rsid w:val="0009706C"/>
    <w:rsid w:val="000D154B"/>
    <w:rsid w:val="000D2DAF"/>
    <w:rsid w:val="000E463E"/>
    <w:rsid w:val="000F73FF"/>
    <w:rsid w:val="00101E6E"/>
    <w:rsid w:val="00102C85"/>
    <w:rsid w:val="00103884"/>
    <w:rsid w:val="00103B4B"/>
    <w:rsid w:val="00107E60"/>
    <w:rsid w:val="00111A6E"/>
    <w:rsid w:val="00114CF7"/>
    <w:rsid w:val="00116C7A"/>
    <w:rsid w:val="00123B68"/>
    <w:rsid w:val="00126F2E"/>
    <w:rsid w:val="00146F6F"/>
    <w:rsid w:val="001560CF"/>
    <w:rsid w:val="00161F26"/>
    <w:rsid w:val="00167348"/>
    <w:rsid w:val="0017232B"/>
    <w:rsid w:val="00187BD9"/>
    <w:rsid w:val="00190B55"/>
    <w:rsid w:val="001C3B5F"/>
    <w:rsid w:val="001C5BE2"/>
    <w:rsid w:val="001D058F"/>
    <w:rsid w:val="001D2879"/>
    <w:rsid w:val="001E27B1"/>
    <w:rsid w:val="002009EA"/>
    <w:rsid w:val="00202756"/>
    <w:rsid w:val="00202CA0"/>
    <w:rsid w:val="00216601"/>
    <w:rsid w:val="00216B6D"/>
    <w:rsid w:val="00225345"/>
    <w:rsid w:val="0022757F"/>
    <w:rsid w:val="00233E43"/>
    <w:rsid w:val="00241FA2"/>
    <w:rsid w:val="00252379"/>
    <w:rsid w:val="00252CA7"/>
    <w:rsid w:val="00266E80"/>
    <w:rsid w:val="00271316"/>
    <w:rsid w:val="00297413"/>
    <w:rsid w:val="002B349C"/>
    <w:rsid w:val="002C5EBC"/>
    <w:rsid w:val="002D58BE"/>
    <w:rsid w:val="002E131D"/>
    <w:rsid w:val="002F4747"/>
    <w:rsid w:val="00300D07"/>
    <w:rsid w:val="00302605"/>
    <w:rsid w:val="00304035"/>
    <w:rsid w:val="003144E4"/>
    <w:rsid w:val="00361B37"/>
    <w:rsid w:val="00376165"/>
    <w:rsid w:val="00377BD3"/>
    <w:rsid w:val="00384088"/>
    <w:rsid w:val="003852CE"/>
    <w:rsid w:val="0039169B"/>
    <w:rsid w:val="00396451"/>
    <w:rsid w:val="00397D9C"/>
    <w:rsid w:val="003A7F8C"/>
    <w:rsid w:val="003B2284"/>
    <w:rsid w:val="003B532E"/>
    <w:rsid w:val="003D0F8B"/>
    <w:rsid w:val="003E0DB6"/>
    <w:rsid w:val="003F1569"/>
    <w:rsid w:val="0041348E"/>
    <w:rsid w:val="00420873"/>
    <w:rsid w:val="00427293"/>
    <w:rsid w:val="00444067"/>
    <w:rsid w:val="00492075"/>
    <w:rsid w:val="004968AA"/>
    <w:rsid w:val="004969AD"/>
    <w:rsid w:val="004A26C4"/>
    <w:rsid w:val="004B13CB"/>
    <w:rsid w:val="004B2921"/>
    <w:rsid w:val="004D26EA"/>
    <w:rsid w:val="004D2BFB"/>
    <w:rsid w:val="004D5D5C"/>
    <w:rsid w:val="004F1D9E"/>
    <w:rsid w:val="004F3DC0"/>
    <w:rsid w:val="0050139F"/>
    <w:rsid w:val="00522385"/>
    <w:rsid w:val="005366BA"/>
    <w:rsid w:val="0055140B"/>
    <w:rsid w:val="005715A8"/>
    <w:rsid w:val="00571CE5"/>
    <w:rsid w:val="00577C33"/>
    <w:rsid w:val="005861D7"/>
    <w:rsid w:val="005964AB"/>
    <w:rsid w:val="005B1D85"/>
    <w:rsid w:val="005B7449"/>
    <w:rsid w:val="005C099A"/>
    <w:rsid w:val="005C2EF1"/>
    <w:rsid w:val="005C31A5"/>
    <w:rsid w:val="005E10C9"/>
    <w:rsid w:val="005E290B"/>
    <w:rsid w:val="005E61DD"/>
    <w:rsid w:val="005F04D8"/>
    <w:rsid w:val="006023DF"/>
    <w:rsid w:val="00605B94"/>
    <w:rsid w:val="006107EC"/>
    <w:rsid w:val="00614D5C"/>
    <w:rsid w:val="00615426"/>
    <w:rsid w:val="00616219"/>
    <w:rsid w:val="006264C8"/>
    <w:rsid w:val="00636AD3"/>
    <w:rsid w:val="006433A9"/>
    <w:rsid w:val="00645B7D"/>
    <w:rsid w:val="00657DE0"/>
    <w:rsid w:val="0066224F"/>
    <w:rsid w:val="006638A1"/>
    <w:rsid w:val="0067064D"/>
    <w:rsid w:val="006769A8"/>
    <w:rsid w:val="00677CF0"/>
    <w:rsid w:val="00685313"/>
    <w:rsid w:val="0069058D"/>
    <w:rsid w:val="00692833"/>
    <w:rsid w:val="00694EDF"/>
    <w:rsid w:val="006A6E9B"/>
    <w:rsid w:val="006B15AF"/>
    <w:rsid w:val="006B3E45"/>
    <w:rsid w:val="006B7C2A"/>
    <w:rsid w:val="006C23DA"/>
    <w:rsid w:val="006D70B0"/>
    <w:rsid w:val="006E3D45"/>
    <w:rsid w:val="006F00A9"/>
    <w:rsid w:val="00705564"/>
    <w:rsid w:val="0070607A"/>
    <w:rsid w:val="00713B4A"/>
    <w:rsid w:val="007149F9"/>
    <w:rsid w:val="00733A30"/>
    <w:rsid w:val="00742700"/>
    <w:rsid w:val="00745AEE"/>
    <w:rsid w:val="00750F10"/>
    <w:rsid w:val="007742CA"/>
    <w:rsid w:val="00776B5C"/>
    <w:rsid w:val="00790D70"/>
    <w:rsid w:val="007A6F1F"/>
    <w:rsid w:val="007D5320"/>
    <w:rsid w:val="007E3A25"/>
    <w:rsid w:val="007F7FDD"/>
    <w:rsid w:val="008006FC"/>
    <w:rsid w:val="00800972"/>
    <w:rsid w:val="00804475"/>
    <w:rsid w:val="00811633"/>
    <w:rsid w:val="00814037"/>
    <w:rsid w:val="00820701"/>
    <w:rsid w:val="008215EA"/>
    <w:rsid w:val="00841216"/>
    <w:rsid w:val="00842AF0"/>
    <w:rsid w:val="008445F4"/>
    <w:rsid w:val="0086171E"/>
    <w:rsid w:val="00872FC8"/>
    <w:rsid w:val="008845D0"/>
    <w:rsid w:val="008846A4"/>
    <w:rsid w:val="00884D60"/>
    <w:rsid w:val="00894DFF"/>
    <w:rsid w:val="00896E56"/>
    <w:rsid w:val="008B43F2"/>
    <w:rsid w:val="008B6CFF"/>
    <w:rsid w:val="008C38EA"/>
    <w:rsid w:val="008E0149"/>
    <w:rsid w:val="008E0FA6"/>
    <w:rsid w:val="008F5EBE"/>
    <w:rsid w:val="009274B4"/>
    <w:rsid w:val="00934EA2"/>
    <w:rsid w:val="00944A5C"/>
    <w:rsid w:val="00952A66"/>
    <w:rsid w:val="00972B59"/>
    <w:rsid w:val="009769A1"/>
    <w:rsid w:val="009B1EA1"/>
    <w:rsid w:val="009B2454"/>
    <w:rsid w:val="009B7C9A"/>
    <w:rsid w:val="009C56E5"/>
    <w:rsid w:val="009C5934"/>
    <w:rsid w:val="009C7716"/>
    <w:rsid w:val="009D528F"/>
    <w:rsid w:val="009E5FC8"/>
    <w:rsid w:val="009E687A"/>
    <w:rsid w:val="009F236F"/>
    <w:rsid w:val="009F5033"/>
    <w:rsid w:val="00A066F1"/>
    <w:rsid w:val="00A11B55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74B49"/>
    <w:rsid w:val="00A76168"/>
    <w:rsid w:val="00A8284C"/>
    <w:rsid w:val="00A929DA"/>
    <w:rsid w:val="00A93B85"/>
    <w:rsid w:val="00AA0B18"/>
    <w:rsid w:val="00AA3C65"/>
    <w:rsid w:val="00AA666F"/>
    <w:rsid w:val="00AB05C4"/>
    <w:rsid w:val="00AC43A3"/>
    <w:rsid w:val="00AD7914"/>
    <w:rsid w:val="00AE514B"/>
    <w:rsid w:val="00AF5DBD"/>
    <w:rsid w:val="00AF6DD5"/>
    <w:rsid w:val="00B04B37"/>
    <w:rsid w:val="00B40888"/>
    <w:rsid w:val="00B639E9"/>
    <w:rsid w:val="00B817CD"/>
    <w:rsid w:val="00B81A7D"/>
    <w:rsid w:val="00B91E75"/>
    <w:rsid w:val="00B91EF7"/>
    <w:rsid w:val="00B94AD0"/>
    <w:rsid w:val="00BB3A95"/>
    <w:rsid w:val="00BB44D8"/>
    <w:rsid w:val="00BC75DE"/>
    <w:rsid w:val="00BD4006"/>
    <w:rsid w:val="00BD410A"/>
    <w:rsid w:val="00BD6CCE"/>
    <w:rsid w:val="00C0018F"/>
    <w:rsid w:val="00C15422"/>
    <w:rsid w:val="00C16A5A"/>
    <w:rsid w:val="00C20466"/>
    <w:rsid w:val="00C214ED"/>
    <w:rsid w:val="00C234E6"/>
    <w:rsid w:val="00C324A8"/>
    <w:rsid w:val="00C32B46"/>
    <w:rsid w:val="00C44F50"/>
    <w:rsid w:val="00C54517"/>
    <w:rsid w:val="00C56F70"/>
    <w:rsid w:val="00C57B91"/>
    <w:rsid w:val="00C6017F"/>
    <w:rsid w:val="00C64CD8"/>
    <w:rsid w:val="00C650A9"/>
    <w:rsid w:val="00C65198"/>
    <w:rsid w:val="00C70FE9"/>
    <w:rsid w:val="00C82695"/>
    <w:rsid w:val="00C9618A"/>
    <w:rsid w:val="00C97C68"/>
    <w:rsid w:val="00CA1A47"/>
    <w:rsid w:val="00CA3DFC"/>
    <w:rsid w:val="00CB44E5"/>
    <w:rsid w:val="00CB5C04"/>
    <w:rsid w:val="00CC247A"/>
    <w:rsid w:val="00CD5724"/>
    <w:rsid w:val="00CE388F"/>
    <w:rsid w:val="00CE5E47"/>
    <w:rsid w:val="00CF020F"/>
    <w:rsid w:val="00CF02F3"/>
    <w:rsid w:val="00CF2B5B"/>
    <w:rsid w:val="00D14860"/>
    <w:rsid w:val="00D14CE0"/>
    <w:rsid w:val="00D255D4"/>
    <w:rsid w:val="00D268B3"/>
    <w:rsid w:val="00D342C4"/>
    <w:rsid w:val="00D34EB0"/>
    <w:rsid w:val="00D43548"/>
    <w:rsid w:val="00D52FD6"/>
    <w:rsid w:val="00D54009"/>
    <w:rsid w:val="00D5651D"/>
    <w:rsid w:val="00D57A34"/>
    <w:rsid w:val="00D60D65"/>
    <w:rsid w:val="00D74898"/>
    <w:rsid w:val="00D801ED"/>
    <w:rsid w:val="00D85786"/>
    <w:rsid w:val="00D911C6"/>
    <w:rsid w:val="00D936BC"/>
    <w:rsid w:val="00D96530"/>
    <w:rsid w:val="00DA1CB1"/>
    <w:rsid w:val="00DA535A"/>
    <w:rsid w:val="00DB6CFB"/>
    <w:rsid w:val="00DC6BE9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60DA8"/>
    <w:rsid w:val="00E8452F"/>
    <w:rsid w:val="00E976C1"/>
    <w:rsid w:val="00EA12E5"/>
    <w:rsid w:val="00EB0812"/>
    <w:rsid w:val="00EB54B2"/>
    <w:rsid w:val="00EB55C6"/>
    <w:rsid w:val="00EB6CDE"/>
    <w:rsid w:val="00EC1670"/>
    <w:rsid w:val="00EC2458"/>
    <w:rsid w:val="00EE73D6"/>
    <w:rsid w:val="00EE77E4"/>
    <w:rsid w:val="00EF1932"/>
    <w:rsid w:val="00EF3DB9"/>
    <w:rsid w:val="00EF71B6"/>
    <w:rsid w:val="00F02766"/>
    <w:rsid w:val="00F05BD4"/>
    <w:rsid w:val="00F06473"/>
    <w:rsid w:val="00F12027"/>
    <w:rsid w:val="00F22879"/>
    <w:rsid w:val="00F320AA"/>
    <w:rsid w:val="00F34BD2"/>
    <w:rsid w:val="00F6155B"/>
    <w:rsid w:val="00F65C19"/>
    <w:rsid w:val="00F74D21"/>
    <w:rsid w:val="00F75CBC"/>
    <w:rsid w:val="00F81329"/>
    <w:rsid w:val="00F82079"/>
    <w:rsid w:val="00F821D8"/>
    <w:rsid w:val="00F822B0"/>
    <w:rsid w:val="00F95E85"/>
    <w:rsid w:val="00FA098F"/>
    <w:rsid w:val="00FA7A9C"/>
    <w:rsid w:val="00FD08E2"/>
    <w:rsid w:val="00FD18DA"/>
    <w:rsid w:val="00FD2546"/>
    <w:rsid w:val="00FD772E"/>
    <w:rsid w:val="00FE03DB"/>
    <w:rsid w:val="00FE78C7"/>
    <w:rsid w:val="00FF04DC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89D77B2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qFormat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Footnote Reference/,Appel note de bas de p,Style 12,(NECG) Footnote Reference,Style 124,Style 13,fr,o,Style 3,FR,Style 17,Style 6,Style 4,Style 7,Footnote Reference1,Footnote symbol,Appel note de bas de p + 11 pt,Italic,Footnote,R,A"/>
    <w:basedOn w:val="DefaultParagraphFont"/>
    <w:qFormat/>
    <w:rsid w:val="00745AEE"/>
    <w:rPr>
      <w:position w:val="6"/>
      <w:sz w:val="18"/>
    </w:rPr>
  </w:style>
  <w:style w:type="paragraph" w:styleId="FootnoteText">
    <w:name w:val="footnote text"/>
    <w:aliases w:val="DNV-FT,ALTS FOOTNOTE,Footnote Text Char1,Footnote Text Char Char1,Footnote Text Char4 Char Char,Footnote Text Char1 Char1 Char1 Char,Footnote Text Char Char1 Char1 Char Char,Footnote Text Char1 Char1 Char1 Char Char Char1,DNV- Char Char,fn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DNV-FT Char,ALTS FOOTNOTE Char,Footnote Text Char1 Char,Footnote Text Char Char1 Char,Footnote Text Char4 Char Char Char,Footnote Text Char1 Char1 Char1 Char Char,Footnote Text Char Char1 Char1 Char Char Char,DNV- Char Char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qFormat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link w:val="ProposalChar"/>
    <w:qFormat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link w:val="TabletitleChar"/>
    <w:qFormat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link w:val="NoteChar"/>
    <w:qFormat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qFormat/>
    <w:rsid w:val="00DE2AC3"/>
  </w:style>
  <w:style w:type="paragraph" w:customStyle="1" w:styleId="Restitle">
    <w:name w:val="Res_title"/>
    <w:basedOn w:val="Rectitle"/>
    <w:next w:val="Normal"/>
    <w:link w:val="RestitleChar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customStyle="1" w:styleId="ReasonsChar">
    <w:name w:val="Reasons Char"/>
    <w:basedOn w:val="DefaultParagraphFont"/>
    <w:link w:val="Reasons"/>
    <w:locked/>
    <w:rsid w:val="0067064D"/>
    <w:rPr>
      <w:rFonts w:ascii="Times New Roman" w:hAnsi="Times New Roman"/>
      <w:sz w:val="24"/>
      <w:lang w:val="en-GB" w:eastAsia="en-US"/>
    </w:rPr>
  </w:style>
  <w:style w:type="paragraph" w:styleId="Revision">
    <w:name w:val="Revision"/>
    <w:hidden/>
    <w:uiPriority w:val="99"/>
    <w:semiHidden/>
    <w:rsid w:val="00101E6E"/>
    <w:rPr>
      <w:rFonts w:ascii="Times New Roman" w:hAnsi="Times New Roman"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9B2454"/>
    <w:rPr>
      <w:rFonts w:ascii="Times New Roman" w:hAnsi="Times New Roman"/>
      <w:sz w:val="24"/>
      <w:lang w:val="en-GB" w:eastAsia="en-US"/>
    </w:rPr>
  </w:style>
  <w:style w:type="character" w:customStyle="1" w:styleId="ProposalChar">
    <w:name w:val="Proposal Char"/>
    <w:basedOn w:val="DefaultParagraphFont"/>
    <w:link w:val="Proposal"/>
    <w:locked/>
    <w:rsid w:val="00614D5C"/>
    <w:rPr>
      <w:rFonts w:ascii="Times New Roman" w:hAnsi="Times New Roman Bold"/>
      <w:b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614D5C"/>
    <w:rPr>
      <w:color w:val="800080" w:themeColor="followedHyperlink"/>
      <w:u w:val="single"/>
    </w:rPr>
  </w:style>
  <w:style w:type="character" w:customStyle="1" w:styleId="TableheadChar">
    <w:name w:val="Table_head Char"/>
    <w:basedOn w:val="DefaultParagraphFont"/>
    <w:link w:val="Tablehead"/>
    <w:qFormat/>
    <w:locked/>
    <w:rsid w:val="00614D5C"/>
    <w:rPr>
      <w:rFonts w:ascii="Times New Roman Bold" w:hAnsi="Times New Roman Bold" w:cs="Times New Roman Bold"/>
      <w:b/>
      <w:lang w:val="en-GB" w:eastAsia="en-US"/>
    </w:rPr>
  </w:style>
  <w:style w:type="character" w:customStyle="1" w:styleId="TabletitleChar">
    <w:name w:val="Table_title Char"/>
    <w:basedOn w:val="DefaultParagraphFont"/>
    <w:link w:val="Tabletitle"/>
    <w:qFormat/>
    <w:locked/>
    <w:rsid w:val="00614D5C"/>
    <w:rPr>
      <w:rFonts w:ascii="Times New Roman Bold" w:hAnsi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qFormat/>
    <w:locked/>
    <w:rsid w:val="00CD5724"/>
    <w:rPr>
      <w:rFonts w:ascii="Times New Roman" w:hAnsi="Times New Roman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522385"/>
    <w:rPr>
      <w:rFonts w:ascii="Times New Roman" w:hAnsi="Times New Roman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102C85"/>
    <w:rPr>
      <w:rFonts w:ascii="Times New Roman Bold" w:hAnsi="Times New Roman Bold"/>
      <w:b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102C85"/>
    <w:rPr>
      <w:rFonts w:ascii="Times New Roman" w:hAnsi="Times New Roman"/>
      <w:i/>
      <w:sz w:val="24"/>
      <w:lang w:val="en-GB" w:eastAsia="en-US"/>
    </w:rPr>
  </w:style>
  <w:style w:type="character" w:customStyle="1" w:styleId="ResNoChar">
    <w:name w:val="Res_No Char"/>
    <w:basedOn w:val="DefaultParagraphFont"/>
    <w:link w:val="ResNo"/>
    <w:qFormat/>
    <w:locked/>
    <w:rsid w:val="008215EA"/>
    <w:rPr>
      <w:rFonts w:ascii="Times New Roman" w:hAnsi="Times New Roman"/>
      <w:caps/>
      <w:sz w:val="28"/>
      <w:lang w:val="en-GB" w:eastAsia="en-US"/>
    </w:rPr>
  </w:style>
  <w:style w:type="table" w:customStyle="1" w:styleId="2">
    <w:name w:val="Сетка таблицы2"/>
    <w:basedOn w:val="TableNormal"/>
    <w:next w:val="TableGrid"/>
    <w:uiPriority w:val="39"/>
    <w:rsid w:val="00FA7A9C"/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FA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18A"/>
    <w:pPr>
      <w:ind w:left="720"/>
      <w:contextualSpacing/>
    </w:pPr>
  </w:style>
  <w:style w:type="character" w:customStyle="1" w:styleId="RestitleChar">
    <w:name w:val="Res_title Char"/>
    <w:link w:val="Restitle"/>
    <w:locked/>
    <w:rsid w:val="00D911C6"/>
    <w:rPr>
      <w:rFonts w:ascii="Times New Roman Bold" w:hAnsi="Times New Roman Bold"/>
      <w:b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831484C5AD743928A8E928A2BAEA2" ma:contentTypeVersion="" ma:contentTypeDescription="Create a new document." ma:contentTypeScope="" ma:versionID="d9bb56580edfcd24f805ed365ce096b7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56AEC-929A-4D88-A212-217AC67B0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3DFC9-98FF-4855-A38C-02C93BED4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C70A8-F4CE-4E44-9CBB-CD9C654A9DD9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4.xml><?xml version="1.0" encoding="utf-8"?>
<ds:datastoreItem xmlns:ds="http://schemas.openxmlformats.org/officeDocument/2006/customXml" ds:itemID="{26460A8C-AD42-4795-8DAB-DFDF2FE2E1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E2F9AE-FE4F-4BE0-9B93-C646B7DB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R23-WRC23-C-0175!!MSW-E</vt:lpstr>
    </vt:vector>
  </TitlesOfParts>
  <Manager>General Secretariat - Pool</Manager>
  <Company>International Telecommunication Union (ITU)</Company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R23-WRC23-C-0175!!MSW-E</dc:title>
  <dc:subject>World Radiocommunication Conference - 2023</dc:subject>
  <dc:creator>Documents Proposals Manager (DPM)</dc:creator>
  <cp:keywords>DPM_v2023.8.1.1_prod</cp:keywords>
  <dc:description>Uploaded on 2015.07.06</dc:description>
  <cp:lastModifiedBy>Rauno Ruismaki (Nokia)</cp:lastModifiedBy>
  <cp:revision>4</cp:revision>
  <cp:lastPrinted>2017-02-10T08:23:00Z</cp:lastPrinted>
  <dcterms:created xsi:type="dcterms:W3CDTF">2023-11-28T19:14:00Z</dcterms:created>
  <dcterms:modified xsi:type="dcterms:W3CDTF">2023-11-29T10:19:00Z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0x010100A6F831484C5AD743928A8E928A2BAEA2</vt:lpwstr>
  </property>
  <property fmtid="{D5CDD505-2E9C-101B-9397-08002B2CF9AE}" pid="10" name="_dlc_DocIdItemGuid">
    <vt:lpwstr>e3f51d54-8436-4404-bce8-bbffce89a1d7</vt:lpwstr>
  </property>
</Properties>
</file>