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7600F" w14:textId="4D611C14" w:rsidR="00D059B6" w:rsidRPr="008D7B74" w:rsidRDefault="00EA1B34" w:rsidP="000B5983">
      <w:pPr>
        <w:jc w:val="center"/>
        <w:rPr>
          <w:b/>
        </w:rPr>
      </w:pPr>
      <w:r w:rsidRPr="008D7B74">
        <w:rPr>
          <w:b/>
        </w:rPr>
        <w:t xml:space="preserve">Report of the Agenda Item Coordinator during </w:t>
      </w:r>
      <w:r w:rsidR="003346ED" w:rsidRPr="008D7B74">
        <w:rPr>
          <w:b/>
        </w:rPr>
        <w:t>WRC-</w:t>
      </w:r>
      <w:r w:rsidR="00550E88" w:rsidRPr="008D7B74">
        <w:rPr>
          <w:b/>
        </w:rPr>
        <w:t>23</w:t>
      </w:r>
    </w:p>
    <w:p w14:paraId="2B6CEC8D" w14:textId="51D94EA2" w:rsidR="00EA1B34" w:rsidRPr="008D7B74" w:rsidRDefault="00B309DF" w:rsidP="00AC461C">
      <w:pPr>
        <w:jc w:val="center"/>
      </w:pPr>
      <w:r w:rsidRPr="008D7B74">
        <w:t xml:space="preserve">Ms. </w:t>
      </w:r>
      <w:r w:rsidR="001D1373" w:rsidRPr="008D7B74">
        <w:t>Sofi , sofi@isro.gov.in</w:t>
      </w:r>
    </w:p>
    <w:p w14:paraId="0CBBB38B" w14:textId="54D2B46D" w:rsidR="004D7CC0" w:rsidRPr="008D7B74" w:rsidRDefault="004D7CC0" w:rsidP="00AC461C">
      <w:pPr>
        <w:jc w:val="center"/>
      </w:pPr>
      <w:r w:rsidRPr="008D7B74">
        <w:t xml:space="preserve">Report Date: </w:t>
      </w:r>
      <w:r w:rsidR="00164B74" w:rsidRPr="008D7B74">
        <w:t>2</w:t>
      </w:r>
      <w:r w:rsidR="00BB78FC">
        <w:t>9</w:t>
      </w:r>
      <w:r w:rsidR="00164B74" w:rsidRPr="008D7B74">
        <w:t>.11.2023</w:t>
      </w:r>
    </w:p>
    <w:p w14:paraId="1160A794" w14:textId="77777777" w:rsidR="00EA1B34" w:rsidRPr="008D7B74" w:rsidRDefault="00EA1B34" w:rsidP="00086F2C">
      <w:pPr>
        <w:pStyle w:val="ListParagraph"/>
        <w:numPr>
          <w:ilvl w:val="0"/>
          <w:numId w:val="1"/>
        </w:numPr>
        <w:ind w:leftChars="0" w:left="360"/>
      </w:pPr>
      <w:r w:rsidRPr="008D7B74">
        <w:t>Agenda Item</w:t>
      </w:r>
    </w:p>
    <w:p w14:paraId="6EFEA852" w14:textId="1D2B9C35" w:rsidR="001D1373" w:rsidRDefault="001D1373" w:rsidP="00FF20DE">
      <w:pPr>
        <w:pStyle w:val="ListParagraph"/>
        <w:numPr>
          <w:ilvl w:val="1"/>
          <w:numId w:val="1"/>
        </w:numPr>
        <w:ind w:leftChars="0"/>
      </w:pPr>
      <w:r w:rsidRPr="008D7B74">
        <w:t>to determine and carry out, on the basis of ITU</w:t>
      </w:r>
      <w:r w:rsidRPr="008D7B74">
        <w:noBreakHyphen/>
        <w:t>R studies in</w:t>
      </w:r>
      <w:r w:rsidRPr="008D7B74">
        <w:rPr>
          <w:spacing w:val="-8"/>
        </w:rPr>
        <w:t xml:space="preserve"> </w:t>
      </w:r>
      <w:r w:rsidRPr="008D7B74">
        <w:t>accordance</w:t>
      </w:r>
      <w:r w:rsidRPr="008D7B74">
        <w:rPr>
          <w:spacing w:val="-2"/>
        </w:rPr>
        <w:t xml:space="preserve"> </w:t>
      </w:r>
      <w:r w:rsidRPr="008D7B74">
        <w:t>with Resolution </w:t>
      </w:r>
      <w:r w:rsidRPr="008D7B74">
        <w:rPr>
          <w:b/>
        </w:rPr>
        <w:t>773 (WRC</w:t>
      </w:r>
      <w:r w:rsidRPr="008D7B74">
        <w:rPr>
          <w:b/>
        </w:rPr>
        <w:noBreakHyphen/>
        <w:t>19)</w:t>
      </w:r>
      <w:r w:rsidRPr="008D7B74">
        <w:t>, the appropriate regulatory actions for the provision of inter-satellite links in specific frequency bands, or portions thereof, by adding an inter-satellite service allocation where appropriate;</w:t>
      </w:r>
    </w:p>
    <w:p w14:paraId="2D1465B6" w14:textId="77777777" w:rsidR="00AA3216" w:rsidRPr="008D7B74" w:rsidRDefault="00AA3216" w:rsidP="00AA3216">
      <w:pPr>
        <w:pStyle w:val="ListParagraph"/>
        <w:ind w:leftChars="0" w:left="840"/>
      </w:pPr>
    </w:p>
    <w:p w14:paraId="13737056" w14:textId="4ACE7DCA" w:rsidR="00E919F0" w:rsidRPr="008D7B74" w:rsidRDefault="00EA1B34" w:rsidP="00E919F0">
      <w:pPr>
        <w:pStyle w:val="ListParagraph"/>
        <w:numPr>
          <w:ilvl w:val="0"/>
          <w:numId w:val="1"/>
        </w:numPr>
        <w:ind w:leftChars="0" w:left="360"/>
      </w:pPr>
      <w:r w:rsidRPr="008D7B74">
        <w:t xml:space="preserve">Topics proposed by other regional Groups or ITU Members which are </w:t>
      </w:r>
      <w:r w:rsidR="008742F3" w:rsidRPr="008D7B74">
        <w:t xml:space="preserve">not included in </w:t>
      </w:r>
      <w:r w:rsidR="00550E88" w:rsidRPr="008D7B74">
        <w:t>ACP and APT View</w:t>
      </w:r>
      <w:r w:rsidR="00E919F0" w:rsidRPr="008D7B74">
        <w:t xml:space="preserve"> </w:t>
      </w:r>
    </w:p>
    <w:p w14:paraId="5381ABA6" w14:textId="0CC06749" w:rsidR="008D7B74" w:rsidRPr="008D7B74" w:rsidRDefault="008D7B74" w:rsidP="00CB3C15">
      <w:pPr>
        <w:pStyle w:val="ListParagraph"/>
        <w:ind w:leftChars="0" w:left="360"/>
      </w:pPr>
      <w:r w:rsidRPr="008D7B74">
        <w:t>For NGSO-GSO CEPT has proposed Expanded cone of coverage, whereas other regional groups have proposed within the cone coverage.</w:t>
      </w:r>
    </w:p>
    <w:p w14:paraId="33783930" w14:textId="028EC366" w:rsidR="004D7CC0" w:rsidRDefault="008D7B74" w:rsidP="008D7B74">
      <w:pPr>
        <w:ind w:left="360"/>
      </w:pPr>
      <w:r w:rsidRPr="008D7B74">
        <w:t>RCC input indicates that a</w:t>
      </w:r>
      <w:r w:rsidR="00E919F0" w:rsidRPr="008D7B74">
        <w:t>dministrations must be given the opportunity to exclude their territory from the service area of any system using satellite to satellite links within the framework of FSS allocation.</w:t>
      </w:r>
    </w:p>
    <w:p w14:paraId="39EAD016" w14:textId="77777777" w:rsidR="00AA3216" w:rsidRPr="008D7B74" w:rsidRDefault="00AA3216" w:rsidP="008D7B74">
      <w:pPr>
        <w:ind w:left="360"/>
      </w:pPr>
    </w:p>
    <w:p w14:paraId="0B87CF1D" w14:textId="175566D6" w:rsidR="00EA1B34" w:rsidRPr="008D7B74" w:rsidRDefault="008742F3" w:rsidP="00086F2C">
      <w:pPr>
        <w:pStyle w:val="ListParagraph"/>
        <w:numPr>
          <w:ilvl w:val="0"/>
          <w:numId w:val="1"/>
        </w:numPr>
        <w:ind w:leftChars="0" w:left="360"/>
      </w:pPr>
      <w:r w:rsidRPr="008D7B74">
        <w:t xml:space="preserve">Progress of discussion during </w:t>
      </w:r>
      <w:r w:rsidR="003346ED" w:rsidRPr="008D7B74">
        <w:t>WRC-</w:t>
      </w:r>
      <w:r w:rsidR="00550E88" w:rsidRPr="008D7B74">
        <w:t>23</w:t>
      </w:r>
      <w:r w:rsidR="003346ED" w:rsidRPr="008D7B74">
        <w:t xml:space="preserve"> </w:t>
      </w:r>
      <w:r w:rsidR="00D1517A" w:rsidRPr="008D7B74">
        <w:t>on the Agenda Item</w:t>
      </w:r>
    </w:p>
    <w:p w14:paraId="299F71AD" w14:textId="01A0975F" w:rsidR="00675E27" w:rsidRDefault="00D4604D" w:rsidP="00887BA8">
      <w:pPr>
        <w:ind w:left="360"/>
      </w:pPr>
      <w:r>
        <w:t>SWG5B3</w:t>
      </w:r>
      <w:r w:rsidR="00BB78FC">
        <w:t>, DG5B3a and</w:t>
      </w:r>
      <w:r w:rsidR="005A2F84">
        <w:t xml:space="preserve"> DG5B3</w:t>
      </w:r>
      <w:r w:rsidR="00BB78FC">
        <w:t>b</w:t>
      </w:r>
      <w:r w:rsidR="005A2F84">
        <w:t xml:space="preserve"> </w:t>
      </w:r>
      <w:r w:rsidR="00775FFC">
        <w:t xml:space="preserve">( 2 sessions) </w:t>
      </w:r>
      <w:r>
        <w:t>w</w:t>
      </w:r>
      <w:r w:rsidR="002E5632">
        <w:t>ere</w:t>
      </w:r>
      <w:r>
        <w:t xml:space="preserve"> held today (</w:t>
      </w:r>
      <w:r w:rsidRPr="008D7B74">
        <w:t>2</w:t>
      </w:r>
      <w:r w:rsidR="00BB78FC">
        <w:t>9</w:t>
      </w:r>
      <w:r w:rsidRPr="008D7B74">
        <w:t xml:space="preserve"> Nov</w:t>
      </w:r>
      <w:r>
        <w:t xml:space="preserve"> 2023).</w:t>
      </w:r>
      <w:r w:rsidR="00D815BC" w:rsidRPr="008D7B74">
        <w:t xml:space="preserve"> </w:t>
      </w:r>
    </w:p>
    <w:p w14:paraId="6C8D4D1E" w14:textId="14F5DAF0" w:rsidR="005A2F84" w:rsidRPr="00BD62D6" w:rsidRDefault="005A2F84" w:rsidP="00887BA8">
      <w:pPr>
        <w:ind w:left="360"/>
        <w:rPr>
          <w:b/>
          <w:bCs/>
        </w:rPr>
      </w:pPr>
      <w:r w:rsidRPr="00BD62D6">
        <w:rPr>
          <w:b/>
          <w:bCs/>
        </w:rPr>
        <w:t>Discussions during SWG5B3 meeting:</w:t>
      </w:r>
    </w:p>
    <w:p w14:paraId="73A4C974" w14:textId="6515BD2B" w:rsidR="003B65DF" w:rsidRDefault="00D815BC" w:rsidP="00887BA8">
      <w:pPr>
        <w:ind w:left="360"/>
      </w:pPr>
      <w:r w:rsidRPr="008D7B74">
        <w:t xml:space="preserve">The meeting </w:t>
      </w:r>
      <w:r w:rsidR="00D4604D">
        <w:t xml:space="preserve">started discussion </w:t>
      </w:r>
      <w:r w:rsidR="00887BA8">
        <w:t xml:space="preserve">on the </w:t>
      </w:r>
      <w:r w:rsidR="00D4604D">
        <w:t>Temp 5B3-ver</w:t>
      </w:r>
      <w:r w:rsidR="001C07DC">
        <w:t>7</w:t>
      </w:r>
      <w:r w:rsidR="00D4604D">
        <w:t xml:space="preserve"> document (Attached).</w:t>
      </w:r>
      <w:r w:rsidR="00CE18AC" w:rsidRPr="008D7B74">
        <w:t xml:space="preserve"> </w:t>
      </w:r>
    </w:p>
    <w:p w14:paraId="6AC22187" w14:textId="77777777" w:rsidR="000F6F7A" w:rsidRDefault="000F6F7A" w:rsidP="00BD62D6">
      <w:pPr>
        <w:pStyle w:val="ListParagraph"/>
        <w:numPr>
          <w:ilvl w:val="0"/>
          <w:numId w:val="2"/>
        </w:numPr>
        <w:ind w:leftChars="0" w:left="595" w:hanging="357"/>
      </w:pPr>
      <w:r>
        <w:t>Footnote 5.A117 was discussed. ASMG informed that inclusion of 19.3-19.7 GHz in this footnote is subject to protection value finalization in the 19.3-19.7 GHz under the footnote 5.523X.</w:t>
      </w:r>
    </w:p>
    <w:p w14:paraId="00EED497" w14:textId="77777777" w:rsidR="0030220F" w:rsidRDefault="000F6F7A" w:rsidP="00BD62D6">
      <w:pPr>
        <w:pStyle w:val="ListParagraph"/>
        <w:numPr>
          <w:ilvl w:val="0"/>
          <w:numId w:val="2"/>
        </w:numPr>
        <w:ind w:leftChars="0" w:left="595" w:hanging="357"/>
      </w:pPr>
      <w:r>
        <w:t xml:space="preserve">In the footnote 5.523X, ASMGs preference was -148 </w:t>
      </w:r>
      <w:proofErr w:type="spellStart"/>
      <w:r>
        <w:t>dBW</w:t>
      </w:r>
      <w:proofErr w:type="spellEnd"/>
      <w:r>
        <w:t xml:space="preserve">/Hz at the input receiving antenna. However, the general view from other regional group is that </w:t>
      </w:r>
      <w:r w:rsidR="0030220F">
        <w:t xml:space="preserve">power flux density of -140 </w:t>
      </w:r>
      <w:proofErr w:type="spellStart"/>
      <w:r w:rsidR="0030220F">
        <w:t>dBW</w:t>
      </w:r>
      <w:proofErr w:type="spellEnd"/>
      <w:r w:rsidR="0030220F">
        <w:t xml:space="preserve">/Hz within 150 </w:t>
      </w:r>
      <w:proofErr w:type="spellStart"/>
      <w:r w:rsidR="0030220F">
        <w:t>Kms</w:t>
      </w:r>
      <w:proofErr w:type="spellEnd"/>
      <w:r w:rsidR="0030220F">
        <w:t xml:space="preserve"> will be sufficient to protect 19.3-19.7 GHz </w:t>
      </w:r>
      <w:proofErr w:type="spellStart"/>
      <w:r w:rsidR="0030220F">
        <w:t>feederlink</w:t>
      </w:r>
      <w:proofErr w:type="spellEnd"/>
      <w:r w:rsidR="0030220F">
        <w:t xml:space="preserve"> operation. </w:t>
      </w:r>
    </w:p>
    <w:p w14:paraId="04100041" w14:textId="41A4AD75" w:rsidR="002317D0" w:rsidRDefault="002317D0" w:rsidP="00BD62D6">
      <w:pPr>
        <w:pStyle w:val="ListParagraph"/>
        <w:numPr>
          <w:ilvl w:val="0"/>
          <w:numId w:val="2"/>
        </w:numPr>
        <w:ind w:leftChars="0" w:left="595" w:hanging="357"/>
      </w:pPr>
      <w:r>
        <w:t>Chairman</w:t>
      </w:r>
      <w:r w:rsidR="00775FFC">
        <w:t xml:space="preserve"> </w:t>
      </w:r>
      <w:r>
        <w:t>review</w:t>
      </w:r>
      <w:r w:rsidR="00775FFC">
        <w:t>ed</w:t>
      </w:r>
      <w:r>
        <w:t xml:space="preserve"> the </w:t>
      </w:r>
      <w:r w:rsidR="0030220F">
        <w:t>considering and some resolves portion of the output document.</w:t>
      </w:r>
    </w:p>
    <w:p w14:paraId="659F3918" w14:textId="77777777" w:rsidR="00BD62D6" w:rsidRDefault="00BD62D6" w:rsidP="00BD62D6">
      <w:pPr>
        <w:pStyle w:val="ListParagraph"/>
        <w:ind w:leftChars="0" w:left="595"/>
      </w:pPr>
    </w:p>
    <w:p w14:paraId="0A888C83" w14:textId="4EF1CF0C" w:rsidR="00580B2B" w:rsidRPr="00BD62D6" w:rsidRDefault="00580B2B" w:rsidP="00580B2B">
      <w:pPr>
        <w:ind w:firstLine="238"/>
        <w:rPr>
          <w:b/>
          <w:bCs/>
        </w:rPr>
      </w:pPr>
      <w:r w:rsidRPr="00BD62D6">
        <w:rPr>
          <w:b/>
          <w:bCs/>
        </w:rPr>
        <w:t xml:space="preserve">Discussions during </w:t>
      </w:r>
      <w:r w:rsidR="00B76CC3" w:rsidRPr="00BD62D6">
        <w:rPr>
          <w:b/>
          <w:bCs/>
        </w:rPr>
        <w:t xml:space="preserve">first session of </w:t>
      </w:r>
      <w:r w:rsidRPr="00BD62D6">
        <w:rPr>
          <w:b/>
          <w:bCs/>
        </w:rPr>
        <w:t>DG5B3</w:t>
      </w:r>
      <w:r w:rsidR="00BB78FC" w:rsidRPr="00BD62D6">
        <w:rPr>
          <w:b/>
          <w:bCs/>
        </w:rPr>
        <w:t>b</w:t>
      </w:r>
      <w:r w:rsidRPr="00BD62D6">
        <w:rPr>
          <w:b/>
          <w:bCs/>
        </w:rPr>
        <w:t xml:space="preserve"> meeting:</w:t>
      </w:r>
    </w:p>
    <w:p w14:paraId="750B8D29" w14:textId="77777777" w:rsidR="00BB78FC" w:rsidRDefault="00BB78FC" w:rsidP="00F9328C">
      <w:pPr>
        <w:pStyle w:val="ListParagraph"/>
        <w:numPr>
          <w:ilvl w:val="0"/>
          <w:numId w:val="6"/>
        </w:numPr>
        <w:ind w:leftChars="0"/>
      </w:pPr>
      <w:r>
        <w:t xml:space="preserve">The on-axis EIRP spectral density for non-GSO transmitting to GSO to protect non-GSO in the frequency band was discussed. The two values for discussion are -17.5 </w:t>
      </w:r>
      <w:proofErr w:type="spellStart"/>
      <w:r>
        <w:t>dBW</w:t>
      </w:r>
      <w:proofErr w:type="spellEnd"/>
      <w:r>
        <w:t xml:space="preserve">/Hz and 52.5dBW/10 </w:t>
      </w:r>
      <w:proofErr w:type="spellStart"/>
      <w:r>
        <w:t>MHz.</w:t>
      </w:r>
      <w:proofErr w:type="spellEnd"/>
      <w:r>
        <w:t xml:space="preserve"> CEPT and CITEL are working towards consensus.</w:t>
      </w:r>
    </w:p>
    <w:p w14:paraId="19454996" w14:textId="77777777" w:rsidR="00BB78FC" w:rsidRDefault="00BB78FC" w:rsidP="00F9328C">
      <w:pPr>
        <w:pStyle w:val="ListParagraph"/>
        <w:numPr>
          <w:ilvl w:val="0"/>
          <w:numId w:val="6"/>
        </w:numPr>
        <w:ind w:leftChars="0"/>
      </w:pPr>
      <w:r>
        <w:t xml:space="preserve">The protection </w:t>
      </w:r>
      <w:proofErr w:type="spellStart"/>
      <w:r>
        <w:t>citeria</w:t>
      </w:r>
      <w:proofErr w:type="spellEnd"/>
      <w:r>
        <w:t xml:space="preserve"> for FSS feeder links to non-GSO MSS systems in 29.1-29.5 GHz following aspects were discussed:</w:t>
      </w:r>
    </w:p>
    <w:p w14:paraId="7405B8FE" w14:textId="77777777" w:rsidR="00BB78FC" w:rsidRDefault="00BB78FC" w:rsidP="00BB78FC">
      <w:pPr>
        <w:pStyle w:val="ListParagraph"/>
        <w:numPr>
          <w:ilvl w:val="0"/>
          <w:numId w:val="8"/>
        </w:numPr>
        <w:ind w:leftChars="0"/>
      </w:pPr>
      <w:r>
        <w:t xml:space="preserve">The maximum power spectral density of -66 </w:t>
      </w:r>
      <w:proofErr w:type="spellStart"/>
      <w:r>
        <w:t>dBW</w:t>
      </w:r>
      <w:proofErr w:type="spellEnd"/>
      <w:r>
        <w:t>/Hz is arrived during the meeting subject to feedback from CEPT.</w:t>
      </w:r>
    </w:p>
    <w:p w14:paraId="15EE8253" w14:textId="77777777" w:rsidR="00BB78FC" w:rsidRDefault="00BB78FC" w:rsidP="00BB78FC">
      <w:pPr>
        <w:pStyle w:val="ListParagraph"/>
        <w:numPr>
          <w:ilvl w:val="0"/>
          <w:numId w:val="8"/>
        </w:numPr>
        <w:ind w:leftChars="0"/>
      </w:pPr>
      <w:r>
        <w:t>Inclination of non-GSO communicating with GSO is still under discussion: 80-100 or 70 -100.</w:t>
      </w:r>
    </w:p>
    <w:p w14:paraId="5B4E4BCF" w14:textId="77777777" w:rsidR="00BB78FC" w:rsidRDefault="00BB78FC" w:rsidP="00F9328C">
      <w:pPr>
        <w:pStyle w:val="ListParagraph"/>
        <w:numPr>
          <w:ilvl w:val="0"/>
          <w:numId w:val="6"/>
        </w:numPr>
        <w:ind w:leftChars="0"/>
      </w:pPr>
      <w:r>
        <w:t xml:space="preserve">The para c of Annex-4 regarding no transmission zone around 900 -1390 </w:t>
      </w:r>
      <w:proofErr w:type="spellStart"/>
      <w:r>
        <w:t>Kms</w:t>
      </w:r>
      <w:proofErr w:type="spellEnd"/>
      <w:r>
        <w:t xml:space="preserve"> is deleted.</w:t>
      </w:r>
    </w:p>
    <w:p w14:paraId="388FAF0C" w14:textId="0B5EE25A" w:rsidR="00F9328C" w:rsidRDefault="007C0700" w:rsidP="00F9328C">
      <w:pPr>
        <w:pStyle w:val="ListParagraph"/>
        <w:numPr>
          <w:ilvl w:val="0"/>
          <w:numId w:val="6"/>
        </w:numPr>
        <w:ind w:leftChars="0"/>
      </w:pPr>
      <w:r>
        <w:t xml:space="preserve">For total EIRP from non-GSO to non-GSO transmission with altitude greater than 2000 </w:t>
      </w:r>
      <w:proofErr w:type="spellStart"/>
      <w:r>
        <w:t>Kms</w:t>
      </w:r>
      <w:proofErr w:type="spellEnd"/>
      <w:r>
        <w:t xml:space="preserve">/lower than 2000 </w:t>
      </w:r>
      <w:proofErr w:type="spellStart"/>
      <w:r>
        <w:t>Kms</w:t>
      </w:r>
      <w:proofErr w:type="spellEnd"/>
      <w:r>
        <w:t xml:space="preserve">, two values for different time frames are accepted. The cut off period will be 31 December 2036. The values for 900 Kms-1350 </w:t>
      </w:r>
      <w:proofErr w:type="spellStart"/>
      <w:r>
        <w:t>Kms</w:t>
      </w:r>
      <w:proofErr w:type="spellEnd"/>
      <w:r>
        <w:t xml:space="preserve"> are still under discussion.</w:t>
      </w:r>
    </w:p>
    <w:p w14:paraId="7B05F168" w14:textId="5FEB776E" w:rsidR="007C0700" w:rsidRPr="00373595" w:rsidRDefault="007C0700" w:rsidP="007C0700">
      <w:pPr>
        <w:pStyle w:val="ListParagraph"/>
        <w:numPr>
          <w:ilvl w:val="0"/>
          <w:numId w:val="6"/>
        </w:numPr>
        <w:ind w:leftChars="0"/>
      </w:pPr>
      <w:r w:rsidRPr="00373595">
        <w:t>In the frequency bands 27.5-29.1 GHz and 29.5-30 GHz</w:t>
      </w:r>
      <w:r>
        <w:t>,</w:t>
      </w:r>
      <w:r w:rsidRPr="00373595">
        <w:t xml:space="preserve"> On-axis </w:t>
      </w:r>
      <w:proofErr w:type="spellStart"/>
      <w:r w:rsidRPr="00373595">
        <w:t>e.i.r.p</w:t>
      </w:r>
      <w:proofErr w:type="spellEnd"/>
      <w:r w:rsidRPr="00373595">
        <w:t xml:space="preserve"> spectral density of [-28/-30] </w:t>
      </w:r>
      <w:proofErr w:type="spellStart"/>
      <w:r w:rsidRPr="00373595">
        <w:t>dBW</w:t>
      </w:r>
      <w:proofErr w:type="spellEnd"/>
      <w:r w:rsidRPr="00373595">
        <w:t xml:space="preserve">/Hz is proposed from any non-GSO space station transmitting to another non-GSO system with a lower than 2 000 km. </w:t>
      </w:r>
      <w:r>
        <w:t xml:space="preserve">APT </w:t>
      </w:r>
      <w:r w:rsidRPr="00373595">
        <w:t xml:space="preserve">proposed -28 </w:t>
      </w:r>
      <w:proofErr w:type="spellStart"/>
      <w:r w:rsidRPr="00373595">
        <w:t>dBW</w:t>
      </w:r>
      <w:proofErr w:type="spellEnd"/>
      <w:r w:rsidRPr="00373595">
        <w:t>/Hz.</w:t>
      </w:r>
      <w:r>
        <w:t xml:space="preserve"> ATU has to provide feedback regarding their stand on -30 </w:t>
      </w:r>
      <w:proofErr w:type="spellStart"/>
      <w:r>
        <w:t>dBW</w:t>
      </w:r>
      <w:proofErr w:type="spellEnd"/>
      <w:r>
        <w:t>/Hz</w:t>
      </w:r>
    </w:p>
    <w:p w14:paraId="57311AB0" w14:textId="77777777" w:rsidR="00AA3216" w:rsidRDefault="00AA3216" w:rsidP="00BD62D6">
      <w:pPr>
        <w:ind w:left="238"/>
        <w:rPr>
          <w:b/>
          <w:bCs/>
        </w:rPr>
      </w:pPr>
    </w:p>
    <w:p w14:paraId="66B11093" w14:textId="77777777" w:rsidR="00AA3216" w:rsidRDefault="00AA3216" w:rsidP="00BD62D6">
      <w:pPr>
        <w:ind w:left="238"/>
        <w:rPr>
          <w:b/>
          <w:bCs/>
        </w:rPr>
      </w:pPr>
    </w:p>
    <w:p w14:paraId="5BA08753" w14:textId="11D9AC3B" w:rsidR="001134AC" w:rsidRPr="00BD62D6" w:rsidRDefault="001134AC" w:rsidP="00BD62D6">
      <w:pPr>
        <w:ind w:left="238"/>
        <w:rPr>
          <w:b/>
          <w:bCs/>
        </w:rPr>
      </w:pPr>
      <w:r w:rsidRPr="00BD62D6">
        <w:rPr>
          <w:b/>
          <w:bCs/>
        </w:rPr>
        <w:lastRenderedPageBreak/>
        <w:t>Discussions during DG5B3a meeting:</w:t>
      </w:r>
    </w:p>
    <w:p w14:paraId="7E9B8F9E" w14:textId="090D3B2C" w:rsidR="0045436D" w:rsidRDefault="0045436D" w:rsidP="00BD62D6">
      <w:pPr>
        <w:pStyle w:val="ListParagraph"/>
        <w:numPr>
          <w:ilvl w:val="0"/>
          <w:numId w:val="10"/>
        </w:numPr>
        <w:ind w:leftChars="0" w:left="952" w:hanging="357"/>
      </w:pPr>
      <w:r w:rsidRPr="0045436D">
        <w:t>The meeting started discussion on the</w:t>
      </w:r>
      <w:r>
        <w:t xml:space="preserve"> AI1.17-Annex 2-Article 21rev2 </w:t>
      </w:r>
      <w:r w:rsidRPr="0045436D">
        <w:t xml:space="preserve">document (Attached). </w:t>
      </w:r>
    </w:p>
    <w:p w14:paraId="3ABA497E" w14:textId="12971001" w:rsidR="0045436D" w:rsidRDefault="0045436D" w:rsidP="00BD62D6">
      <w:pPr>
        <w:pStyle w:val="ListParagraph"/>
        <w:numPr>
          <w:ilvl w:val="0"/>
          <w:numId w:val="10"/>
        </w:numPr>
        <w:ind w:leftChars="0" w:left="952" w:hanging="357"/>
      </w:pPr>
      <w:r>
        <w:t xml:space="preserve">Footnote was added below the </w:t>
      </w:r>
      <w:proofErr w:type="spellStart"/>
      <w:r>
        <w:t>ToFA</w:t>
      </w:r>
      <w:proofErr w:type="spellEnd"/>
      <w:r>
        <w:t xml:space="preserve"> </w:t>
      </w:r>
      <w:r w:rsidRPr="0045436D">
        <w:t xml:space="preserve">that Annex 2 to Draft New Resolution [A117-SPACE-TO-SPACE] applies to calculate the </w:t>
      </w:r>
      <w:proofErr w:type="spellStart"/>
      <w:r w:rsidRPr="0045436D">
        <w:t>pfd</w:t>
      </w:r>
      <w:proofErr w:type="spellEnd"/>
      <w:r w:rsidRPr="0045436D">
        <w:t xml:space="preserve"> produced at the surface of the Earth by emissions from a non-GSO space station transmitting in the frequency band 27.5-29.5 GHz</w:t>
      </w:r>
      <w:r>
        <w:t>.</w:t>
      </w:r>
    </w:p>
    <w:p w14:paraId="06A3F2A7" w14:textId="081A3F0D" w:rsidR="00BD62D6" w:rsidRPr="00BD62D6" w:rsidRDefault="0045436D" w:rsidP="00BD62D6">
      <w:pPr>
        <w:pStyle w:val="ListParagraph"/>
        <w:numPr>
          <w:ilvl w:val="0"/>
          <w:numId w:val="10"/>
        </w:numPr>
        <w:ind w:leftChars="0" w:left="952" w:hanging="357"/>
      </w:pPr>
      <w:r>
        <w:t xml:space="preserve">Though it was decided that the </w:t>
      </w:r>
      <w:proofErr w:type="spellStart"/>
      <w:r>
        <w:t>pfd</w:t>
      </w:r>
      <w:proofErr w:type="spellEnd"/>
      <w:r>
        <w:t xml:space="preserve"> value will be placed in the Article-21, exact </w:t>
      </w:r>
      <w:proofErr w:type="spellStart"/>
      <w:r>
        <w:t>pfd</w:t>
      </w:r>
      <w:proofErr w:type="spellEnd"/>
      <w:r>
        <w:t xml:space="preserve"> option is still under discussion. Offline discussions are being held to arrive at the consensus.</w:t>
      </w:r>
    </w:p>
    <w:p w14:paraId="5DBB234B" w14:textId="645EEECD" w:rsidR="00B76CC3" w:rsidRPr="00BD62D6" w:rsidRDefault="00B76CC3" w:rsidP="00B76CC3">
      <w:pPr>
        <w:ind w:firstLine="238"/>
        <w:rPr>
          <w:b/>
          <w:bCs/>
        </w:rPr>
      </w:pPr>
      <w:r w:rsidRPr="00BD62D6">
        <w:rPr>
          <w:b/>
          <w:bCs/>
        </w:rPr>
        <w:t xml:space="preserve">Discussions during </w:t>
      </w:r>
      <w:r w:rsidR="001C07DC" w:rsidRPr="00BD62D6">
        <w:rPr>
          <w:b/>
          <w:bCs/>
        </w:rPr>
        <w:t>second</w:t>
      </w:r>
      <w:r w:rsidRPr="00BD62D6">
        <w:rPr>
          <w:b/>
          <w:bCs/>
        </w:rPr>
        <w:t xml:space="preserve"> session of DG5B3b meeting:</w:t>
      </w:r>
    </w:p>
    <w:p w14:paraId="28FC284F" w14:textId="339B28A2" w:rsidR="001C07DC" w:rsidRDefault="001C07DC" w:rsidP="00B76CC3">
      <w:pPr>
        <w:ind w:firstLine="238"/>
      </w:pPr>
      <w:r>
        <w:t>During second session consensus was reached in the following aspects:</w:t>
      </w:r>
    </w:p>
    <w:p w14:paraId="6DEB39CC" w14:textId="3BF8C4F8" w:rsidR="001C07DC" w:rsidRDefault="001C07DC" w:rsidP="001C07DC">
      <w:pPr>
        <w:pStyle w:val="ListParagraph"/>
        <w:numPr>
          <w:ilvl w:val="0"/>
          <w:numId w:val="6"/>
        </w:numPr>
        <w:ind w:leftChars="0"/>
      </w:pPr>
      <w:r>
        <w:t xml:space="preserve">The on-axis EIRP spectral density for non-GSO transmitting to GSO to protect non-GSO in the frequency band was finalized as 52.5dBW/10 MHz with editorial revisions. </w:t>
      </w:r>
    </w:p>
    <w:p w14:paraId="74154356" w14:textId="1FC20F07" w:rsidR="001C07DC" w:rsidRDefault="001C07DC" w:rsidP="001C07DC">
      <w:pPr>
        <w:pStyle w:val="ListParagraph"/>
        <w:numPr>
          <w:ilvl w:val="0"/>
          <w:numId w:val="6"/>
        </w:numPr>
        <w:ind w:leftChars="0"/>
      </w:pPr>
      <w:r>
        <w:t xml:space="preserve">The protection </w:t>
      </w:r>
      <w:proofErr w:type="spellStart"/>
      <w:r>
        <w:t>citeria</w:t>
      </w:r>
      <w:proofErr w:type="spellEnd"/>
      <w:r>
        <w:t xml:space="preserve"> for FSS feeder links to non-GSO MSS systems in 29.1-29.5 GHz following aspects were finalized as :</w:t>
      </w:r>
    </w:p>
    <w:p w14:paraId="6EC540BC" w14:textId="6FE1DD11" w:rsidR="001C07DC" w:rsidRDefault="001C07DC" w:rsidP="001C07DC">
      <w:pPr>
        <w:pStyle w:val="ListParagraph"/>
        <w:numPr>
          <w:ilvl w:val="0"/>
          <w:numId w:val="8"/>
        </w:numPr>
        <w:ind w:leftChars="0"/>
      </w:pPr>
      <w:r>
        <w:t xml:space="preserve">The maximum power spectral density as -66 </w:t>
      </w:r>
      <w:proofErr w:type="spellStart"/>
      <w:r>
        <w:t>dBW</w:t>
      </w:r>
      <w:proofErr w:type="spellEnd"/>
      <w:r>
        <w:t>/Hz.</w:t>
      </w:r>
    </w:p>
    <w:p w14:paraId="6272A58B" w14:textId="4E2BEAA9" w:rsidR="001C07DC" w:rsidRDefault="001C07DC" w:rsidP="001C07DC">
      <w:pPr>
        <w:pStyle w:val="ListParagraph"/>
        <w:numPr>
          <w:ilvl w:val="0"/>
          <w:numId w:val="8"/>
        </w:numPr>
        <w:ind w:leftChars="0"/>
      </w:pPr>
      <w:r>
        <w:t>Inclination of non-GSO communicating with GSO will be 75 and 105 degrees.</w:t>
      </w:r>
    </w:p>
    <w:p w14:paraId="4083D81E" w14:textId="0266D669" w:rsidR="001C07DC" w:rsidRDefault="001C07DC" w:rsidP="001C07DC">
      <w:pPr>
        <w:pStyle w:val="ListParagraph"/>
        <w:numPr>
          <w:ilvl w:val="0"/>
          <w:numId w:val="6"/>
        </w:numPr>
        <w:ind w:leftChars="0"/>
      </w:pPr>
      <w:r w:rsidRPr="001C07DC">
        <w:t xml:space="preserve">In the frequency bands 27.5-29.1 GHz and 29.5-30 GHz, On-axis </w:t>
      </w:r>
      <w:proofErr w:type="spellStart"/>
      <w:r w:rsidRPr="001C07DC">
        <w:t>e.i.r.p</w:t>
      </w:r>
      <w:proofErr w:type="spellEnd"/>
      <w:r w:rsidRPr="001C07DC">
        <w:t xml:space="preserve"> spectral density of -28</w:t>
      </w:r>
      <w:r>
        <w:t xml:space="preserve"> </w:t>
      </w:r>
      <w:proofErr w:type="spellStart"/>
      <w:r w:rsidRPr="001C07DC">
        <w:t>dBW</w:t>
      </w:r>
      <w:proofErr w:type="spellEnd"/>
      <w:r w:rsidRPr="001C07DC">
        <w:t xml:space="preserve">/Hz is </w:t>
      </w:r>
      <w:r>
        <w:t>finalized for</w:t>
      </w:r>
      <w:r w:rsidRPr="001C07DC">
        <w:t xml:space="preserve"> any non-GSO space station transmitting to another non-GSO system with a lower than 2 000 km. </w:t>
      </w:r>
    </w:p>
    <w:p w14:paraId="41A00F15" w14:textId="1FF668D6" w:rsidR="001134AC" w:rsidRPr="00BD62D6" w:rsidRDefault="001C07DC" w:rsidP="00BD62D6">
      <w:pPr>
        <w:pStyle w:val="ListParagraph"/>
        <w:numPr>
          <w:ilvl w:val="0"/>
          <w:numId w:val="6"/>
        </w:numPr>
        <w:ind w:leftChars="0"/>
      </w:pPr>
      <w:r>
        <w:t>For antenna masks some regional groups have to provide feedback</w:t>
      </w:r>
      <w:r w:rsidR="00BD62D6">
        <w:t>.</w:t>
      </w:r>
    </w:p>
    <w:p w14:paraId="521E42AD" w14:textId="77777777" w:rsidR="007C0700" w:rsidRPr="00F9328C" w:rsidRDefault="007C0700" w:rsidP="008E5F99">
      <w:pPr>
        <w:pStyle w:val="ListParagraph"/>
        <w:ind w:leftChars="0" w:left="598"/>
      </w:pPr>
    </w:p>
    <w:p w14:paraId="60E7BC44" w14:textId="6F8BD25B" w:rsidR="008742F3" w:rsidRPr="008D7B74" w:rsidRDefault="008742F3" w:rsidP="00086F2C">
      <w:pPr>
        <w:pStyle w:val="ListParagraph"/>
        <w:numPr>
          <w:ilvl w:val="0"/>
          <w:numId w:val="1"/>
        </w:numPr>
        <w:ind w:leftChars="0" w:left="360"/>
      </w:pPr>
      <w:r w:rsidRPr="008D7B74">
        <w:t xml:space="preserve">Issues </w:t>
      </w:r>
      <w:r w:rsidR="000B5983" w:rsidRPr="008D7B74">
        <w:t xml:space="preserve">which </w:t>
      </w:r>
      <w:r w:rsidRPr="008D7B74">
        <w:t xml:space="preserve">require </w:t>
      </w:r>
      <w:r w:rsidR="00D1517A" w:rsidRPr="008D7B74">
        <w:t>discussion at</w:t>
      </w:r>
      <w:r w:rsidRPr="008D7B74">
        <w:t xml:space="preserve"> AP</w:t>
      </w:r>
      <w:r w:rsidR="003346ED" w:rsidRPr="008D7B74">
        <w:t>T</w:t>
      </w:r>
      <w:r w:rsidRPr="008D7B74">
        <w:t xml:space="preserve"> Coordination </w:t>
      </w:r>
      <w:r w:rsidR="003346ED" w:rsidRPr="008D7B74">
        <w:t>M</w:t>
      </w:r>
      <w:r w:rsidRPr="008D7B74">
        <w:t>eeting</w:t>
      </w:r>
      <w:r w:rsidR="003346ED" w:rsidRPr="008D7B74">
        <w:t>s</w:t>
      </w:r>
      <w:r w:rsidR="00D1517A" w:rsidRPr="008D7B74">
        <w:t xml:space="preserve"> and seek guidance thereafter</w:t>
      </w:r>
    </w:p>
    <w:p w14:paraId="0050D235" w14:textId="3AAC8A74" w:rsidR="00BD62D6" w:rsidRDefault="00BD62D6" w:rsidP="002E5199">
      <w:pPr>
        <w:pStyle w:val="ListParagraph"/>
        <w:widowControl w:val="0"/>
        <w:numPr>
          <w:ilvl w:val="0"/>
          <w:numId w:val="13"/>
        </w:numPr>
        <w:wordWrap w:val="0"/>
        <w:autoSpaceDE w:val="0"/>
        <w:autoSpaceDN w:val="0"/>
        <w:spacing w:after="160" w:line="259" w:lineRule="auto"/>
        <w:ind w:leftChars="0"/>
        <w:jc w:val="both"/>
      </w:pPr>
      <w:r>
        <w:t>R</w:t>
      </w:r>
      <w:r w:rsidR="000A682B">
        <w:t>CC</w:t>
      </w:r>
      <w:r>
        <w:t xml:space="preserve"> has proposed some revisions in the draft resolution and has requested for</w:t>
      </w:r>
      <w:r w:rsidR="000A682B">
        <w:t xml:space="preserve"> </w:t>
      </w:r>
      <w:bookmarkStart w:id="0" w:name="_GoBack"/>
      <w:bookmarkEnd w:id="0"/>
      <w:r w:rsidR="00B37B5D">
        <w:t>f</w:t>
      </w:r>
      <w:r>
        <w:t>e</w:t>
      </w:r>
      <w:r w:rsidR="00B37B5D">
        <w:t>e</w:t>
      </w:r>
      <w:r>
        <w:t xml:space="preserve">dback from </w:t>
      </w:r>
      <w:r w:rsidR="002E5199">
        <w:t>regional groups</w:t>
      </w:r>
      <w:r>
        <w:t>.</w:t>
      </w:r>
    </w:p>
    <w:p w14:paraId="6C87D04E" w14:textId="60077B9C" w:rsidR="00AA3216" w:rsidRDefault="00AA3216" w:rsidP="002E5199">
      <w:pPr>
        <w:pStyle w:val="ListParagraph"/>
        <w:widowControl w:val="0"/>
        <w:numPr>
          <w:ilvl w:val="0"/>
          <w:numId w:val="11"/>
        </w:numPr>
        <w:wordWrap w:val="0"/>
        <w:autoSpaceDE w:val="0"/>
        <w:autoSpaceDN w:val="0"/>
        <w:spacing w:after="160" w:line="259" w:lineRule="auto"/>
        <w:ind w:leftChars="0"/>
        <w:jc w:val="both"/>
      </w:pPr>
      <w:r>
        <w:t>Point 1:</w:t>
      </w:r>
    </w:p>
    <w:p w14:paraId="7346C725" w14:textId="77777777" w:rsidR="00B37B5D" w:rsidRPr="002E5199" w:rsidRDefault="00B37B5D" w:rsidP="002E5199">
      <w:pPr>
        <w:pStyle w:val="ListParagraph"/>
        <w:ind w:leftChars="0" w:left="720"/>
        <w:jc w:val="both"/>
        <w:rPr>
          <w:color w:val="000000" w:themeColor="text1"/>
        </w:rPr>
      </w:pPr>
      <w:r w:rsidRPr="002E5199">
        <w:rPr>
          <w:color w:val="000000" w:themeColor="text1"/>
        </w:rPr>
        <w:t xml:space="preserve">Explicit agreement has to be obtained from the administration for operation of ISS space station when visible from the territory of the administration. </w:t>
      </w:r>
      <w:r w:rsidR="00AA3216" w:rsidRPr="002E5199">
        <w:rPr>
          <w:color w:val="000000" w:themeColor="text1"/>
        </w:rPr>
        <w:t>In case any sub-satellite point of the non-GSO ISS space station, is located on the territory of any administration, this administration may at any time during four-month period inform the Bureau about its objection to include those sub-satellite points in the service area of any ISS assignment.</w:t>
      </w:r>
    </w:p>
    <w:p w14:paraId="6BB6E411" w14:textId="77777777" w:rsidR="00B37B5D" w:rsidRDefault="00B37B5D" w:rsidP="00AA3216">
      <w:pPr>
        <w:ind w:left="360"/>
        <w:jc w:val="both"/>
        <w:rPr>
          <w:color w:val="000000" w:themeColor="text1"/>
        </w:rPr>
      </w:pPr>
    </w:p>
    <w:p w14:paraId="04577160" w14:textId="7F3C45E9" w:rsidR="00AA3216" w:rsidRPr="002E5199" w:rsidRDefault="00B37B5D" w:rsidP="002E5199">
      <w:pPr>
        <w:pStyle w:val="ListParagraph"/>
        <w:numPr>
          <w:ilvl w:val="0"/>
          <w:numId w:val="11"/>
        </w:numPr>
        <w:ind w:leftChars="0"/>
        <w:jc w:val="both"/>
        <w:rPr>
          <w:color w:val="000000" w:themeColor="text1"/>
        </w:rPr>
      </w:pPr>
      <w:r w:rsidRPr="002E5199">
        <w:rPr>
          <w:color w:val="000000" w:themeColor="text1"/>
        </w:rPr>
        <w:t>Point 2:</w:t>
      </w:r>
      <w:r w:rsidR="00AA3216" w:rsidRPr="002E5199">
        <w:rPr>
          <w:color w:val="000000" w:themeColor="text1"/>
        </w:rPr>
        <w:t xml:space="preserve"> </w:t>
      </w:r>
    </w:p>
    <w:p w14:paraId="6A3DC9B3" w14:textId="5F6FB769" w:rsidR="00B37B5D" w:rsidRDefault="00B37B5D" w:rsidP="00B37B5D">
      <w:pPr>
        <w:jc w:val="both"/>
        <w:rPr>
          <w:color w:val="000000" w:themeColor="text1"/>
        </w:rPr>
      </w:pPr>
    </w:p>
    <w:p w14:paraId="3EC00B93" w14:textId="73120E2C" w:rsidR="00AA3216" w:rsidRPr="002E5199" w:rsidRDefault="00B37B5D" w:rsidP="002E5199">
      <w:pPr>
        <w:pStyle w:val="ListParagraph"/>
        <w:ind w:leftChars="0" w:left="720"/>
        <w:jc w:val="both"/>
        <w:rPr>
          <w:color w:val="000000" w:themeColor="text1"/>
        </w:rPr>
      </w:pPr>
      <w:r w:rsidRPr="002E5199">
        <w:rPr>
          <w:color w:val="000000" w:themeColor="text1"/>
        </w:rPr>
        <w:t>A</w:t>
      </w:r>
      <w:r w:rsidR="00AA3216" w:rsidRPr="002E5199">
        <w:rPr>
          <w:color w:val="000000" w:themeColor="text1"/>
        </w:rPr>
        <w:t>dministration responsible for the notification of non-GSO space stations communicating with GSO or non-GSO space stations in the ISS shall be the same administration that has already notified frequency assignments in the FSS</w:t>
      </w:r>
      <w:r w:rsidRPr="002E5199">
        <w:rPr>
          <w:color w:val="000000" w:themeColor="text1"/>
        </w:rPr>
        <w:t>.</w:t>
      </w:r>
    </w:p>
    <w:p w14:paraId="16B6B023" w14:textId="798FF5D2" w:rsidR="00B37B5D" w:rsidRDefault="00B37B5D" w:rsidP="00B37B5D">
      <w:pPr>
        <w:ind w:left="360"/>
        <w:rPr>
          <w:color w:val="000000" w:themeColor="text1"/>
        </w:rPr>
      </w:pPr>
    </w:p>
    <w:p w14:paraId="22D66197" w14:textId="520A7522" w:rsidR="00B37B5D" w:rsidRPr="002E5199" w:rsidRDefault="00B37B5D" w:rsidP="002E5199">
      <w:pPr>
        <w:pStyle w:val="ListParagraph"/>
        <w:numPr>
          <w:ilvl w:val="0"/>
          <w:numId w:val="11"/>
        </w:numPr>
        <w:ind w:leftChars="0"/>
        <w:rPr>
          <w:color w:val="000000" w:themeColor="text1"/>
        </w:rPr>
      </w:pPr>
      <w:r w:rsidRPr="002E5199">
        <w:rPr>
          <w:color w:val="000000" w:themeColor="text1"/>
        </w:rPr>
        <w:t>Point 3:</w:t>
      </w:r>
      <w:r w:rsidR="002E5199" w:rsidRPr="002E5199">
        <w:rPr>
          <w:color w:val="000000" w:themeColor="text1"/>
        </w:rPr>
        <w:t xml:space="preserve"> Coordination under 9.11A.</w:t>
      </w:r>
    </w:p>
    <w:p w14:paraId="763C85B2" w14:textId="77777777" w:rsidR="002E5199" w:rsidRPr="00AA3216" w:rsidRDefault="002E5199" w:rsidP="00B37B5D">
      <w:pPr>
        <w:ind w:left="360"/>
        <w:rPr>
          <w:color w:val="000000" w:themeColor="text1"/>
        </w:rPr>
      </w:pPr>
    </w:p>
    <w:p w14:paraId="72CBAA52" w14:textId="01F790CD" w:rsidR="00EF5AB1" w:rsidRPr="002E5199" w:rsidRDefault="00BD62D6" w:rsidP="00EF5AB1">
      <w:pPr>
        <w:pStyle w:val="ListParagraph"/>
        <w:widowControl w:val="0"/>
        <w:numPr>
          <w:ilvl w:val="0"/>
          <w:numId w:val="13"/>
        </w:numPr>
        <w:tabs>
          <w:tab w:val="left" w:pos="601"/>
        </w:tabs>
        <w:wordWrap w:val="0"/>
        <w:autoSpaceDE w:val="0"/>
        <w:autoSpaceDN w:val="0"/>
        <w:adjustRightInd w:val="0"/>
        <w:spacing w:after="160" w:line="259" w:lineRule="auto"/>
        <w:ind w:leftChars="0" w:left="360"/>
        <w:jc w:val="both"/>
      </w:pPr>
      <w:r>
        <w:t>For Annex-2, regarding protection of terrestrial services</w:t>
      </w:r>
      <w:r w:rsidR="004D42F0">
        <w:t xml:space="preserve">, 3 options are discussed (Attached). </w:t>
      </w:r>
      <w:r w:rsidR="002E5199">
        <w:t>CEPT and CITEL has proposed ITU RR Article 21 limits. Japan has proposed RES169 limits and has been involved in offline discussions for consensus.</w:t>
      </w:r>
    </w:p>
    <w:p w14:paraId="1B65AE19" w14:textId="5B7D3BC3" w:rsidR="00C82B13" w:rsidRPr="008D7B74" w:rsidRDefault="00C82B13" w:rsidP="00C82B13">
      <w:r w:rsidRPr="008D7B74">
        <w:rPr>
          <w:i/>
        </w:rPr>
        <w:t xml:space="preserve">Note: Coordinators </w:t>
      </w:r>
      <w:r w:rsidR="009E27EC" w:rsidRPr="008D7B74">
        <w:rPr>
          <w:i/>
        </w:rPr>
        <w:t>are</w:t>
      </w:r>
      <w:r w:rsidRPr="008D7B74">
        <w:rPr>
          <w:i/>
        </w:rPr>
        <w:t xml:space="preserve"> encouraged to conduct informal consultation with interested APT Members on the issues/topics under no. </w:t>
      </w:r>
      <w:r w:rsidR="00550E88" w:rsidRPr="008D7B74">
        <w:rPr>
          <w:i/>
        </w:rPr>
        <w:t xml:space="preserve">2 </w:t>
      </w:r>
      <w:r w:rsidRPr="008D7B74">
        <w:rPr>
          <w:i/>
        </w:rPr>
        <w:t xml:space="preserve">and inform the outcomes of consultation to the </w:t>
      </w:r>
      <w:r w:rsidRPr="008D7B74">
        <w:rPr>
          <w:i/>
        </w:rPr>
        <w:lastRenderedPageBreak/>
        <w:t>Coordination Meeting</w:t>
      </w:r>
      <w:r w:rsidR="003346ED" w:rsidRPr="008D7B74">
        <w:t>.</w:t>
      </w:r>
      <w:r w:rsidR="003346ED" w:rsidRPr="008D7B74">
        <w:rPr>
          <w:i/>
          <w:iCs/>
        </w:rPr>
        <w:t xml:space="preserve"> Coordinators can also organize coordination meetings on the respective agenda items whenever necessary.   </w:t>
      </w:r>
      <w:r w:rsidRPr="008D7B74">
        <w:t xml:space="preserve">  </w:t>
      </w:r>
    </w:p>
    <w:sectPr w:rsidR="00C82B13" w:rsidRPr="008D7B74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E82B3" w14:textId="77777777" w:rsidR="00AF3428" w:rsidRDefault="00AF3428" w:rsidP="00D1517A">
      <w:r>
        <w:separator/>
      </w:r>
    </w:p>
  </w:endnote>
  <w:endnote w:type="continuationSeparator" w:id="0">
    <w:p w14:paraId="65B07FF0" w14:textId="77777777" w:rsidR="00AF3428" w:rsidRDefault="00AF3428" w:rsidP="00D1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C2A3C" w14:textId="77777777" w:rsidR="00AF3428" w:rsidRDefault="00AF3428" w:rsidP="00D1517A">
      <w:r>
        <w:separator/>
      </w:r>
    </w:p>
  </w:footnote>
  <w:footnote w:type="continuationSeparator" w:id="0">
    <w:p w14:paraId="4AD29D66" w14:textId="77777777" w:rsidR="00AF3428" w:rsidRDefault="00AF3428" w:rsidP="00D15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7B6A"/>
    <w:multiLevelType w:val="hybridMultilevel"/>
    <w:tmpl w:val="AC42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118D5"/>
    <w:multiLevelType w:val="hybridMultilevel"/>
    <w:tmpl w:val="96C0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94DFB"/>
    <w:multiLevelType w:val="hybridMultilevel"/>
    <w:tmpl w:val="C5B8C48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7D6244"/>
    <w:multiLevelType w:val="hybridMultilevel"/>
    <w:tmpl w:val="2A7C4AF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D7A09"/>
    <w:multiLevelType w:val="hybridMultilevel"/>
    <w:tmpl w:val="EC005012"/>
    <w:lvl w:ilvl="0" w:tplc="08090005">
      <w:start w:val="1"/>
      <w:numFmt w:val="bullet"/>
      <w:lvlText w:val=""/>
      <w:lvlJc w:val="left"/>
      <w:pPr>
        <w:ind w:left="1678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5" w15:restartNumberingAfterBreak="0">
    <w:nsid w:val="346B2D26"/>
    <w:multiLevelType w:val="hybridMultilevel"/>
    <w:tmpl w:val="A920A438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6" w15:restartNumberingAfterBreak="0">
    <w:nsid w:val="59457B49"/>
    <w:multiLevelType w:val="multilevel"/>
    <w:tmpl w:val="BD4CA936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84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7" w15:restartNumberingAfterBreak="0">
    <w:nsid w:val="6CA248AD"/>
    <w:multiLevelType w:val="hybridMultilevel"/>
    <w:tmpl w:val="CA523D70"/>
    <w:lvl w:ilvl="0" w:tplc="04090001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8" w15:restartNumberingAfterBreak="0">
    <w:nsid w:val="71940051"/>
    <w:multiLevelType w:val="hybridMultilevel"/>
    <w:tmpl w:val="948C35A0"/>
    <w:lvl w:ilvl="0" w:tplc="04090001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9" w15:restartNumberingAfterBreak="0">
    <w:nsid w:val="74135E4B"/>
    <w:multiLevelType w:val="hybridMultilevel"/>
    <w:tmpl w:val="81D42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103F6A"/>
    <w:multiLevelType w:val="hybridMultilevel"/>
    <w:tmpl w:val="E958869C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1" w15:restartNumberingAfterBreak="0">
    <w:nsid w:val="7DD477CA"/>
    <w:multiLevelType w:val="hybridMultilevel"/>
    <w:tmpl w:val="9F8E70E0"/>
    <w:lvl w:ilvl="0" w:tplc="04090005">
      <w:start w:val="1"/>
      <w:numFmt w:val="bullet"/>
      <w:lvlText w:val=""/>
      <w:lvlJc w:val="left"/>
      <w:pPr>
        <w:ind w:left="9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2" w15:restartNumberingAfterBreak="0">
    <w:nsid w:val="7E0960FD"/>
    <w:multiLevelType w:val="hybridMultilevel"/>
    <w:tmpl w:val="24483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0"/>
  </w:num>
  <w:num w:numId="8">
    <w:abstractNumId w:val="11"/>
  </w:num>
  <w:num w:numId="9">
    <w:abstractNumId w:val="12"/>
  </w:num>
  <w:num w:numId="10">
    <w:abstractNumId w:val="10"/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4"/>
    <w:rsid w:val="00000956"/>
    <w:rsid w:val="0004163C"/>
    <w:rsid w:val="000612C7"/>
    <w:rsid w:val="00086F2C"/>
    <w:rsid w:val="000A0D23"/>
    <w:rsid w:val="000A682B"/>
    <w:rsid w:val="000B0F2C"/>
    <w:rsid w:val="000B5983"/>
    <w:rsid w:val="000F6F7A"/>
    <w:rsid w:val="00100B0E"/>
    <w:rsid w:val="00106268"/>
    <w:rsid w:val="001134AC"/>
    <w:rsid w:val="00164B74"/>
    <w:rsid w:val="001A1F17"/>
    <w:rsid w:val="001C07DC"/>
    <w:rsid w:val="001D1373"/>
    <w:rsid w:val="001E0789"/>
    <w:rsid w:val="002317D0"/>
    <w:rsid w:val="00283D24"/>
    <w:rsid w:val="00291E89"/>
    <w:rsid w:val="002E5199"/>
    <w:rsid w:val="002E5632"/>
    <w:rsid w:val="002E79F1"/>
    <w:rsid w:val="0030220F"/>
    <w:rsid w:val="003346ED"/>
    <w:rsid w:val="00373595"/>
    <w:rsid w:val="00394D8D"/>
    <w:rsid w:val="003B65DF"/>
    <w:rsid w:val="004466A8"/>
    <w:rsid w:val="0045436D"/>
    <w:rsid w:val="00464A4B"/>
    <w:rsid w:val="004A3E94"/>
    <w:rsid w:val="004A574B"/>
    <w:rsid w:val="004D42F0"/>
    <w:rsid w:val="004D7CC0"/>
    <w:rsid w:val="004E6869"/>
    <w:rsid w:val="00507CCD"/>
    <w:rsid w:val="00550E88"/>
    <w:rsid w:val="005755E6"/>
    <w:rsid w:val="00580B2B"/>
    <w:rsid w:val="005A2F84"/>
    <w:rsid w:val="005B20AA"/>
    <w:rsid w:val="005D3428"/>
    <w:rsid w:val="00613BF1"/>
    <w:rsid w:val="00627862"/>
    <w:rsid w:val="00652F11"/>
    <w:rsid w:val="006544AD"/>
    <w:rsid w:val="0066379E"/>
    <w:rsid w:val="00675E27"/>
    <w:rsid w:val="00677357"/>
    <w:rsid w:val="00683E04"/>
    <w:rsid w:val="00694191"/>
    <w:rsid w:val="006D6FE2"/>
    <w:rsid w:val="0076369D"/>
    <w:rsid w:val="00775FFC"/>
    <w:rsid w:val="007B7B65"/>
    <w:rsid w:val="007C0700"/>
    <w:rsid w:val="007C4951"/>
    <w:rsid w:val="00820B47"/>
    <w:rsid w:val="008742F3"/>
    <w:rsid w:val="00887BA8"/>
    <w:rsid w:val="008973AB"/>
    <w:rsid w:val="008B1572"/>
    <w:rsid w:val="008C1DDE"/>
    <w:rsid w:val="008D7B74"/>
    <w:rsid w:val="008E5F99"/>
    <w:rsid w:val="00977C8C"/>
    <w:rsid w:val="009A1800"/>
    <w:rsid w:val="009E27EC"/>
    <w:rsid w:val="009F062B"/>
    <w:rsid w:val="00AA3216"/>
    <w:rsid w:val="00AC461C"/>
    <w:rsid w:val="00AF3428"/>
    <w:rsid w:val="00AF5DD7"/>
    <w:rsid w:val="00B309DF"/>
    <w:rsid w:val="00B37B5D"/>
    <w:rsid w:val="00B445FF"/>
    <w:rsid w:val="00B654E5"/>
    <w:rsid w:val="00B76CC3"/>
    <w:rsid w:val="00B91A61"/>
    <w:rsid w:val="00BB78FC"/>
    <w:rsid w:val="00BD62D6"/>
    <w:rsid w:val="00C11F53"/>
    <w:rsid w:val="00C15EBD"/>
    <w:rsid w:val="00C672EC"/>
    <w:rsid w:val="00C750CB"/>
    <w:rsid w:val="00C82B13"/>
    <w:rsid w:val="00C857DA"/>
    <w:rsid w:val="00C8669B"/>
    <w:rsid w:val="00C90095"/>
    <w:rsid w:val="00CB3C15"/>
    <w:rsid w:val="00CD71B8"/>
    <w:rsid w:val="00CE18AC"/>
    <w:rsid w:val="00CF0F2C"/>
    <w:rsid w:val="00D059B6"/>
    <w:rsid w:val="00D1517A"/>
    <w:rsid w:val="00D4604D"/>
    <w:rsid w:val="00D66280"/>
    <w:rsid w:val="00D815BC"/>
    <w:rsid w:val="00DA490F"/>
    <w:rsid w:val="00DE30EE"/>
    <w:rsid w:val="00DF75EF"/>
    <w:rsid w:val="00E0396B"/>
    <w:rsid w:val="00E17B83"/>
    <w:rsid w:val="00E43695"/>
    <w:rsid w:val="00E4535E"/>
    <w:rsid w:val="00E919F0"/>
    <w:rsid w:val="00EA1B34"/>
    <w:rsid w:val="00EB3700"/>
    <w:rsid w:val="00EC68D5"/>
    <w:rsid w:val="00EF3E3C"/>
    <w:rsid w:val="00EF5AB1"/>
    <w:rsid w:val="00EF7969"/>
    <w:rsid w:val="00F02465"/>
    <w:rsid w:val="00F069E7"/>
    <w:rsid w:val="00F32AE0"/>
    <w:rsid w:val="00F45C7E"/>
    <w:rsid w:val="00F47622"/>
    <w:rsid w:val="00F9328C"/>
    <w:rsid w:val="00FB4B0C"/>
    <w:rsid w:val="00FC3BCB"/>
    <w:rsid w:val="00FD1098"/>
    <w:rsid w:val="00FF20DE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7AE80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36D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IN" w:eastAsia="en-US"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B34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D15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17A"/>
  </w:style>
  <w:style w:type="paragraph" w:styleId="Footer">
    <w:name w:val="footer"/>
    <w:basedOn w:val="Normal"/>
    <w:link w:val="FooterChar"/>
    <w:uiPriority w:val="99"/>
    <w:unhideWhenUsed/>
    <w:rsid w:val="00D15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17A"/>
  </w:style>
  <w:style w:type="character" w:styleId="Hyperlink">
    <w:name w:val="Hyperlink"/>
    <w:basedOn w:val="DefaultParagraphFont"/>
    <w:uiPriority w:val="99"/>
    <w:unhideWhenUsed/>
    <w:rsid w:val="00FF20DE"/>
    <w:rPr>
      <w:color w:val="0563C1" w:themeColor="hyperlink"/>
      <w:u w:val="single"/>
    </w:rPr>
  </w:style>
  <w:style w:type="paragraph" w:customStyle="1" w:styleId="Tablehead">
    <w:name w:val="Table_head"/>
    <w:basedOn w:val="Normal"/>
    <w:rsid w:val="00FF20DE"/>
    <w:pPr>
      <w:keepNext/>
      <w:tabs>
        <w:tab w:val="left" w:pos="1134"/>
        <w:tab w:val="left" w:pos="1871"/>
        <w:tab w:val="left" w:pos="2268"/>
      </w:tabs>
      <w:overflowPunct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  <w:szCs w:val="20"/>
      <w:lang w:val="en-GB"/>
    </w:rPr>
  </w:style>
  <w:style w:type="paragraph" w:customStyle="1" w:styleId="Tabletext">
    <w:name w:val="Table_text"/>
    <w:basedOn w:val="Normal"/>
    <w:rsid w:val="00FF20D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djustRightInd w:val="0"/>
      <w:spacing w:before="40" w:after="40"/>
      <w:textAlignment w:val="baseline"/>
    </w:pPr>
    <w:rPr>
      <w:rFonts w:eastAsia="MS Mincho"/>
      <w:szCs w:val="20"/>
      <w:lang w:val="en-GB"/>
    </w:rPr>
  </w:style>
  <w:style w:type="table" w:styleId="TableGrid">
    <w:name w:val="Table Grid"/>
    <w:basedOn w:val="TableNormal"/>
    <w:rsid w:val="00FF20DE"/>
    <w:pPr>
      <w:spacing w:after="0" w:line="240" w:lineRule="auto"/>
      <w:jc w:val="left"/>
    </w:pPr>
    <w:rPr>
      <w:rFonts w:ascii="Times" w:eastAsia="MS Mincho" w:hAnsi="Times" w:cs="Times New Roman"/>
      <w:kern w:val="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19F0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3695"/>
    <w:pPr>
      <w:spacing w:before="100" w:beforeAutospacing="1" w:after="100" w:afterAutospacing="1"/>
    </w:pPr>
  </w:style>
  <w:style w:type="paragraph" w:customStyle="1" w:styleId="Note">
    <w:name w:val="Note"/>
    <w:basedOn w:val="Normal"/>
    <w:next w:val="Normal"/>
    <w:link w:val="NoteChar"/>
    <w:qFormat/>
    <w:rsid w:val="00464A4B"/>
    <w:pPr>
      <w:tabs>
        <w:tab w:val="left" w:pos="284"/>
        <w:tab w:val="left" w:pos="1134"/>
        <w:tab w:val="left" w:pos="1871"/>
        <w:tab w:val="left" w:pos="2268"/>
      </w:tabs>
      <w:overflowPunct w:val="0"/>
      <w:adjustRightInd w:val="0"/>
      <w:spacing w:before="80"/>
      <w:textAlignment w:val="baseline"/>
    </w:pPr>
    <w:rPr>
      <w:szCs w:val="20"/>
      <w:lang w:val="en-GB"/>
    </w:rPr>
  </w:style>
  <w:style w:type="character" w:customStyle="1" w:styleId="NoteChar">
    <w:name w:val="Note Char"/>
    <w:basedOn w:val="DefaultParagraphFont"/>
    <w:link w:val="Note"/>
    <w:qFormat/>
    <w:locked/>
    <w:rsid w:val="00464A4B"/>
    <w:rPr>
      <w:rFonts w:ascii="Times New Roman" w:eastAsia="Times New Roman" w:hAnsi="Times New Roman" w:cs="Times New Roman"/>
      <w:kern w:val="0"/>
      <w:sz w:val="24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TTA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Sreekumar</cp:lastModifiedBy>
  <cp:revision>38</cp:revision>
  <dcterms:created xsi:type="dcterms:W3CDTF">2023-11-15T04:04:00Z</dcterms:created>
  <dcterms:modified xsi:type="dcterms:W3CDTF">2023-11-29T20:04:00Z</dcterms:modified>
</cp:coreProperties>
</file>