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b/>
        </w:rPr>
      </w:pPr>
      <w:r w:rsidRPr="008D7B74">
        <w:rPr>
          <w:b/>
        </w:rPr>
        <w:t xml:space="preserve">Report of the Agenda Item Coordinator during </w:t>
      </w:r>
      <w:r w:rsidR="003346ED" w:rsidRPr="008D7B74">
        <w:rPr>
          <w:b/>
        </w:rPr>
        <w:t>WRC-</w:t>
      </w:r>
      <w:r w:rsidR="00550E88" w:rsidRPr="008D7B74">
        <w:rPr>
          <w:b/>
        </w:rPr>
        <w:t>23</w:t>
      </w:r>
    </w:p>
    <w:p w14:paraId="2B6CEC8D" w14:textId="51D94EA2" w:rsidR="00EA1B34" w:rsidRPr="008D7B74" w:rsidRDefault="00B309DF" w:rsidP="00AC461C">
      <w:pPr>
        <w:jc w:val="center"/>
      </w:pPr>
      <w:r w:rsidRPr="008D7B74">
        <w:t xml:space="preserve">Ms. </w:t>
      </w:r>
      <w:r w:rsidR="001D1373" w:rsidRPr="008D7B74">
        <w:t>Sofi , sofi@isro.gov.in</w:t>
      </w:r>
    </w:p>
    <w:p w14:paraId="0CBBB38B" w14:textId="31FEF39B" w:rsidR="004D7CC0" w:rsidRPr="008D7B74" w:rsidRDefault="004D7CC0" w:rsidP="00AC461C">
      <w:pPr>
        <w:jc w:val="center"/>
      </w:pPr>
      <w:r w:rsidRPr="008D7B74">
        <w:t xml:space="preserve">Report Date: </w:t>
      </w:r>
      <w:r w:rsidR="00682F33">
        <w:t>0</w:t>
      </w:r>
      <w:r w:rsidR="000750EC">
        <w:t>4</w:t>
      </w:r>
      <w:r w:rsidR="00164B74" w:rsidRPr="008D7B74">
        <w:t>.1</w:t>
      </w:r>
      <w:r w:rsidR="00682F33">
        <w:t>2</w:t>
      </w:r>
      <w:r w:rsidR="00164B74" w:rsidRPr="008D7B74">
        <w:t>.2023</w:t>
      </w:r>
    </w:p>
    <w:p w14:paraId="1160A794" w14:textId="77777777" w:rsidR="00EA1B34" w:rsidRPr="008D7B74" w:rsidRDefault="00EA1B34" w:rsidP="00086F2C">
      <w:pPr>
        <w:pStyle w:val="ListParagraph"/>
        <w:numPr>
          <w:ilvl w:val="0"/>
          <w:numId w:val="1"/>
        </w:numPr>
        <w:ind w:leftChars="0" w:left="360"/>
      </w:pPr>
      <w:r w:rsidRPr="008D7B74">
        <w:t>Agenda Item</w:t>
      </w:r>
    </w:p>
    <w:p w14:paraId="6EFEA852" w14:textId="1D2B9C35" w:rsidR="001D1373" w:rsidRDefault="001D1373" w:rsidP="00FF20DE">
      <w:pPr>
        <w:pStyle w:val="ListParagraph"/>
        <w:numPr>
          <w:ilvl w:val="1"/>
          <w:numId w:val="1"/>
        </w:numPr>
        <w:ind w:leftChars="0"/>
      </w:pPr>
      <w:r w:rsidRPr="008D7B74">
        <w:t>to determine and carry out, on the basis of ITU</w:t>
      </w:r>
      <w:r w:rsidRPr="008D7B74">
        <w:noBreakHyphen/>
        <w:t>R studies in</w:t>
      </w:r>
      <w:r w:rsidRPr="008D7B74">
        <w:rPr>
          <w:spacing w:val="-8"/>
        </w:rPr>
        <w:t xml:space="preserve"> </w:t>
      </w:r>
      <w:r w:rsidRPr="008D7B74">
        <w:t>accordance</w:t>
      </w:r>
      <w:r w:rsidRPr="008D7B74">
        <w:rPr>
          <w:spacing w:val="-2"/>
        </w:rPr>
        <w:t xml:space="preserve"> </w:t>
      </w:r>
      <w:r w:rsidRPr="008D7B74">
        <w:t>with Resolution </w:t>
      </w:r>
      <w:r w:rsidRPr="008D7B74">
        <w:rPr>
          <w:b/>
        </w:rPr>
        <w:t>773 (WRC</w:t>
      </w:r>
      <w:r w:rsidRPr="008D7B74">
        <w:rPr>
          <w:b/>
        </w:rPr>
        <w:noBreakHyphen/>
        <w:t>19)</w:t>
      </w:r>
      <w:r w:rsidRPr="008D7B74">
        <w:t>, the appropriate regulatory actions for the provision of inter-satellite links in specific frequency bands, or portions thereof, by adding an inter-satellite service allocation where appropriate;</w:t>
      </w:r>
    </w:p>
    <w:p w14:paraId="2D1465B6" w14:textId="77777777" w:rsidR="00AA3216" w:rsidRPr="008D7B74" w:rsidRDefault="00AA3216" w:rsidP="00AA3216">
      <w:pPr>
        <w:pStyle w:val="ListParagraph"/>
        <w:ind w:leftChars="0" w:left="840"/>
      </w:pPr>
    </w:p>
    <w:p w14:paraId="13737056" w14:textId="4ACE7DCA" w:rsidR="00E919F0" w:rsidRPr="008D7B74" w:rsidRDefault="00EA1B34" w:rsidP="00E919F0">
      <w:pPr>
        <w:pStyle w:val="ListParagraph"/>
        <w:numPr>
          <w:ilvl w:val="0"/>
          <w:numId w:val="1"/>
        </w:numPr>
        <w:ind w:leftChars="0" w:left="360"/>
      </w:pPr>
      <w:r w:rsidRPr="008D7B74">
        <w:t xml:space="preserve">Topics proposed by other regional Groups or ITU Members which are </w:t>
      </w:r>
      <w:r w:rsidR="008742F3" w:rsidRPr="008D7B74">
        <w:t xml:space="preserve">not included in </w:t>
      </w:r>
      <w:r w:rsidR="00550E88" w:rsidRPr="008D7B74">
        <w:t>ACP and APT View</w:t>
      </w:r>
      <w:r w:rsidR="00E919F0" w:rsidRPr="008D7B74">
        <w:t xml:space="preserve"> </w:t>
      </w:r>
    </w:p>
    <w:p w14:paraId="5381ABA6" w14:textId="4BCC5056" w:rsidR="008D7B74" w:rsidRPr="008D7B74" w:rsidRDefault="008D7B74" w:rsidP="009C6F82">
      <w:pPr>
        <w:pStyle w:val="ListParagraph"/>
        <w:numPr>
          <w:ilvl w:val="0"/>
          <w:numId w:val="19"/>
        </w:numPr>
        <w:ind w:leftChars="0"/>
      </w:pPr>
      <w:r w:rsidRPr="008D7B74">
        <w:t>For NGSO</w:t>
      </w:r>
      <w:r w:rsidR="00CC7FB3">
        <w:t>(LEO)-</w:t>
      </w:r>
      <w:r w:rsidRPr="008D7B74">
        <w:t xml:space="preserve">GSO CEPT has proposed Expanded cone of coverage, other regional groups </w:t>
      </w:r>
      <w:r w:rsidR="00CC7FB3">
        <w:t>are yet to provide feedback. CITEL is considering it favourably.</w:t>
      </w:r>
    </w:p>
    <w:p w14:paraId="33783930" w14:textId="028EC366" w:rsidR="004D7CC0" w:rsidRDefault="008D7B74" w:rsidP="009C6F82">
      <w:pPr>
        <w:pStyle w:val="ListParagraph"/>
        <w:numPr>
          <w:ilvl w:val="0"/>
          <w:numId w:val="19"/>
        </w:numPr>
        <w:ind w:leftChars="0"/>
      </w:pPr>
      <w:r w:rsidRPr="008D7B74">
        <w:t>RCC input indicates that a</w:t>
      </w:r>
      <w:r w:rsidR="00E919F0" w:rsidRPr="008D7B74">
        <w:t>dministrations must be given the opportunity to exclude their territory from the service area of any system using satellite to satellite links within the framework of FSS allocation.</w:t>
      </w:r>
    </w:p>
    <w:p w14:paraId="39EAD016" w14:textId="77777777" w:rsidR="00AA3216" w:rsidRPr="008D7B74" w:rsidRDefault="00AA3216" w:rsidP="008D7B74">
      <w:pPr>
        <w:ind w:left="360"/>
      </w:pPr>
    </w:p>
    <w:p w14:paraId="0B87CF1D" w14:textId="175566D6" w:rsidR="00EA1B34" w:rsidRPr="008D7B74" w:rsidRDefault="008742F3" w:rsidP="00086F2C">
      <w:pPr>
        <w:pStyle w:val="ListParagraph"/>
        <w:numPr>
          <w:ilvl w:val="0"/>
          <w:numId w:val="1"/>
        </w:numPr>
        <w:ind w:leftChars="0" w:left="360"/>
      </w:pPr>
      <w:r w:rsidRPr="008D7B74">
        <w:t xml:space="preserve">Progress of discussion during </w:t>
      </w:r>
      <w:r w:rsidR="003346ED" w:rsidRPr="008D7B74">
        <w:t>WRC-</w:t>
      </w:r>
      <w:r w:rsidR="00550E88" w:rsidRPr="008D7B74">
        <w:t>23</w:t>
      </w:r>
      <w:r w:rsidR="003346ED" w:rsidRPr="008D7B74">
        <w:t xml:space="preserve"> </w:t>
      </w:r>
      <w:r w:rsidR="00D1517A" w:rsidRPr="008D7B74">
        <w:t>on the Agenda Item</w:t>
      </w:r>
    </w:p>
    <w:p w14:paraId="299F71AD" w14:textId="5B9620F5" w:rsidR="00675E27" w:rsidRDefault="000750EC" w:rsidP="00887BA8">
      <w:pPr>
        <w:ind w:left="360"/>
      </w:pPr>
      <w:r>
        <w:t xml:space="preserve">SWG 5B3 and </w:t>
      </w:r>
      <w:r w:rsidR="00682F33">
        <w:t>Offline discussion</w:t>
      </w:r>
      <w:r w:rsidR="003C7D4C">
        <w:t xml:space="preserve">s </w:t>
      </w:r>
      <w:r w:rsidR="00682F33">
        <w:t>among regional coordinators</w:t>
      </w:r>
      <w:r w:rsidR="005A2F84">
        <w:t xml:space="preserve"> </w:t>
      </w:r>
      <w:r w:rsidR="00D4604D">
        <w:t>w</w:t>
      </w:r>
      <w:r w:rsidR="002E5632">
        <w:t>ere</w:t>
      </w:r>
      <w:r w:rsidR="00D4604D">
        <w:t xml:space="preserve"> held today (</w:t>
      </w:r>
      <w:r w:rsidR="00682F33">
        <w:t>0</w:t>
      </w:r>
      <w:r>
        <w:t>4</w:t>
      </w:r>
      <w:r w:rsidR="00D4604D" w:rsidRPr="008D7B74">
        <w:t xml:space="preserve"> </w:t>
      </w:r>
      <w:r w:rsidR="00682F33">
        <w:t>Dec</w:t>
      </w:r>
      <w:r w:rsidR="00D4604D">
        <w:t xml:space="preserve"> 2023).</w:t>
      </w:r>
      <w:r w:rsidR="00D815BC" w:rsidRPr="008D7B74">
        <w:t xml:space="preserve"> </w:t>
      </w:r>
    </w:p>
    <w:p w14:paraId="573F764C" w14:textId="38AA32D4" w:rsidR="000750EC" w:rsidRDefault="000750EC" w:rsidP="00887BA8">
      <w:pPr>
        <w:ind w:left="360"/>
      </w:pPr>
    </w:p>
    <w:p w14:paraId="09460F0F" w14:textId="77777777" w:rsidR="000750EC" w:rsidRDefault="000750EC" w:rsidP="000750EC">
      <w:pPr>
        <w:ind w:firstLine="238"/>
        <w:rPr>
          <w:b/>
          <w:bCs/>
        </w:rPr>
      </w:pPr>
      <w:r w:rsidRPr="00BD62D6">
        <w:rPr>
          <w:b/>
          <w:bCs/>
        </w:rPr>
        <w:t>Discussions during</w:t>
      </w:r>
      <w:r>
        <w:rPr>
          <w:b/>
          <w:bCs/>
        </w:rPr>
        <w:t xml:space="preserve"> SWG5B3</w:t>
      </w:r>
      <w:r w:rsidRPr="00BD62D6">
        <w:rPr>
          <w:b/>
          <w:bCs/>
        </w:rPr>
        <w:t>:</w:t>
      </w:r>
    </w:p>
    <w:p w14:paraId="5FBC5C2F" w14:textId="4B21B332" w:rsidR="000750EC" w:rsidRDefault="000750EC" w:rsidP="000750EC">
      <w:pPr>
        <w:pStyle w:val="ListParagraph"/>
        <w:numPr>
          <w:ilvl w:val="0"/>
          <w:numId w:val="10"/>
        </w:numPr>
        <w:ind w:leftChars="0" w:left="952" w:hanging="357"/>
      </w:pPr>
      <w:r w:rsidRPr="0045436D">
        <w:t>The meeting started discussion on the</w:t>
      </w:r>
      <w:r>
        <w:t xml:space="preserve"> Temp-5B3-ver13 (Attached)</w:t>
      </w:r>
    </w:p>
    <w:p w14:paraId="69C5D7D0" w14:textId="77777777" w:rsidR="000750EC" w:rsidRDefault="000750EC" w:rsidP="000750EC">
      <w:pPr>
        <w:pStyle w:val="ListParagraph"/>
        <w:numPr>
          <w:ilvl w:val="0"/>
          <w:numId w:val="10"/>
        </w:numPr>
        <w:ind w:leftChars="0" w:left="952" w:hanging="357"/>
        <w:jc w:val="both"/>
      </w:pPr>
      <w:r>
        <w:t>Regarding footnote 5.A117, discussions were initiated to converge towards one alternative. RCC opted for 9.11A instead of 9.21 which was suggested in previous meeting. Hence both alternatives are still under discussion.</w:t>
      </w:r>
    </w:p>
    <w:p w14:paraId="7EDB6049" w14:textId="4753443B" w:rsidR="000750EC" w:rsidRDefault="000750EC" w:rsidP="00732657">
      <w:pPr>
        <w:pStyle w:val="ListParagraph"/>
        <w:numPr>
          <w:ilvl w:val="0"/>
          <w:numId w:val="10"/>
        </w:numPr>
        <w:ind w:leftChars="0" w:left="952" w:hanging="357"/>
        <w:jc w:val="both"/>
      </w:pPr>
      <w:r>
        <w:t xml:space="preserve">For protection of terrestrial services ASMG has proposed the Table 21-4 values with 10 dB reduction instead of CEPT proposal of 5 dB reduction. Convergence could not be reached on this </w:t>
      </w:r>
      <w:proofErr w:type="spellStart"/>
      <w:r>
        <w:t>pfd</w:t>
      </w:r>
      <w:proofErr w:type="spellEnd"/>
      <w:r>
        <w:t xml:space="preserve"> values</w:t>
      </w:r>
    </w:p>
    <w:p w14:paraId="19F8EACB" w14:textId="0D2FD3C2" w:rsidR="000750EC" w:rsidRDefault="000750EC" w:rsidP="000750EC">
      <w:pPr>
        <w:pStyle w:val="ListParagraph"/>
        <w:ind w:leftChars="0" w:left="952"/>
        <w:jc w:val="both"/>
      </w:pPr>
      <w:r>
        <w:t xml:space="preserve"> </w:t>
      </w:r>
    </w:p>
    <w:tbl>
      <w:tblPr>
        <w:tblW w:w="964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0750EC" w:rsidRPr="00A848C5" w14:paraId="001E4D96" w14:textId="77777777" w:rsidTr="000750EC">
        <w:trPr>
          <w:cantSplit/>
        </w:trPr>
        <w:tc>
          <w:tcPr>
            <w:tcW w:w="1908" w:type="dxa"/>
            <w:vMerge w:val="restart"/>
            <w:tcBorders>
              <w:top w:val="single" w:sz="6" w:space="0" w:color="auto"/>
              <w:left w:val="single" w:sz="6" w:space="0" w:color="auto"/>
              <w:right w:val="single" w:sz="4" w:space="0" w:color="auto"/>
            </w:tcBorders>
            <w:vAlign w:val="center"/>
          </w:tcPr>
          <w:p w14:paraId="263E3A18" w14:textId="77777777" w:rsidR="000750EC" w:rsidRPr="00A848C5" w:rsidRDefault="000750EC" w:rsidP="00AE3014">
            <w:pPr>
              <w:pStyle w:val="Tablehead"/>
            </w:pPr>
            <w:r w:rsidRPr="00A848C5">
              <w:t>Frequency band</w:t>
            </w:r>
          </w:p>
        </w:tc>
        <w:tc>
          <w:tcPr>
            <w:tcW w:w="2224" w:type="dxa"/>
            <w:vMerge w:val="restart"/>
            <w:tcBorders>
              <w:top w:val="single" w:sz="6" w:space="0" w:color="auto"/>
              <w:left w:val="single" w:sz="4" w:space="0" w:color="auto"/>
              <w:right w:val="single" w:sz="4" w:space="0" w:color="auto"/>
            </w:tcBorders>
            <w:vAlign w:val="center"/>
          </w:tcPr>
          <w:p w14:paraId="3C477400" w14:textId="77777777" w:rsidR="000750EC" w:rsidRPr="00A848C5" w:rsidRDefault="000750EC" w:rsidP="00AE3014">
            <w:pPr>
              <w:pStyle w:val="Tablehead"/>
            </w:pPr>
            <w:r w:rsidRPr="00A848C5">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1C39F034" w14:textId="77777777" w:rsidR="000750EC" w:rsidRPr="00A848C5" w:rsidRDefault="000750EC" w:rsidP="00AE3014">
            <w:pPr>
              <w:pStyle w:val="Tablehead"/>
            </w:pPr>
            <w:r w:rsidRPr="00A848C5">
              <w:t>Limit in dB(W/m</w:t>
            </w:r>
            <w:r w:rsidRPr="00A848C5">
              <w:rPr>
                <w:vertAlign w:val="superscript"/>
              </w:rPr>
              <w:t>2</w:t>
            </w:r>
            <w:r w:rsidRPr="00A848C5">
              <w:t>) for angles</w:t>
            </w:r>
            <w:r w:rsidRPr="00A848C5">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75C0CA50" w14:textId="77777777" w:rsidR="000750EC" w:rsidRPr="00A848C5" w:rsidRDefault="000750EC" w:rsidP="00AE3014">
            <w:pPr>
              <w:pStyle w:val="Tablehead"/>
            </w:pPr>
            <w:r w:rsidRPr="00A848C5">
              <w:t>Reference bandwidth</w:t>
            </w:r>
          </w:p>
        </w:tc>
      </w:tr>
      <w:tr w:rsidR="000750EC" w:rsidRPr="00A848C5" w14:paraId="0316D723" w14:textId="77777777" w:rsidTr="000750EC">
        <w:trPr>
          <w:cantSplit/>
        </w:trPr>
        <w:tc>
          <w:tcPr>
            <w:tcW w:w="1908" w:type="dxa"/>
            <w:vMerge/>
            <w:tcBorders>
              <w:left w:val="single" w:sz="6" w:space="0" w:color="auto"/>
              <w:right w:val="single" w:sz="4" w:space="0" w:color="auto"/>
            </w:tcBorders>
            <w:vAlign w:val="center"/>
          </w:tcPr>
          <w:p w14:paraId="259323F9" w14:textId="77777777" w:rsidR="000750EC" w:rsidRPr="00A848C5" w:rsidRDefault="000750EC" w:rsidP="00AE3014">
            <w:pPr>
              <w:spacing w:before="80" w:after="80"/>
              <w:jc w:val="center"/>
              <w:rPr>
                <w:b/>
                <w:sz w:val="20"/>
              </w:rPr>
            </w:pPr>
          </w:p>
        </w:tc>
        <w:tc>
          <w:tcPr>
            <w:tcW w:w="2224" w:type="dxa"/>
            <w:vMerge/>
            <w:tcBorders>
              <w:left w:val="single" w:sz="4" w:space="0" w:color="auto"/>
              <w:right w:val="single" w:sz="4" w:space="0" w:color="auto"/>
            </w:tcBorders>
            <w:vAlign w:val="center"/>
          </w:tcPr>
          <w:p w14:paraId="18D7CEF1" w14:textId="77777777" w:rsidR="000750EC" w:rsidRPr="00A848C5" w:rsidRDefault="000750EC" w:rsidP="00AE3014">
            <w:pPr>
              <w:spacing w:before="80" w:after="80"/>
              <w:jc w:val="center"/>
              <w:rPr>
                <w:b/>
                <w:sz w:val="20"/>
              </w:rPr>
            </w:pPr>
          </w:p>
        </w:tc>
        <w:tc>
          <w:tcPr>
            <w:tcW w:w="1135" w:type="dxa"/>
            <w:tcBorders>
              <w:left w:val="single" w:sz="4" w:space="0" w:color="auto"/>
            </w:tcBorders>
            <w:vAlign w:val="center"/>
          </w:tcPr>
          <w:p w14:paraId="2A2AC05B" w14:textId="77777777" w:rsidR="000750EC" w:rsidRPr="00A848C5" w:rsidRDefault="000750EC" w:rsidP="00AE3014">
            <w:pPr>
              <w:pStyle w:val="Tablehead"/>
            </w:pPr>
            <w:r w:rsidRPr="00A848C5">
              <w:t>0°-5°</w:t>
            </w:r>
          </w:p>
        </w:tc>
        <w:tc>
          <w:tcPr>
            <w:tcW w:w="2223" w:type="dxa"/>
            <w:vAlign w:val="center"/>
          </w:tcPr>
          <w:p w14:paraId="45221D81" w14:textId="77777777" w:rsidR="000750EC" w:rsidRPr="00A848C5" w:rsidRDefault="000750EC" w:rsidP="00AE3014">
            <w:pPr>
              <w:pStyle w:val="Tablehead"/>
            </w:pPr>
            <w:r w:rsidRPr="00A848C5">
              <w:t>5°-25°</w:t>
            </w:r>
          </w:p>
        </w:tc>
        <w:tc>
          <w:tcPr>
            <w:tcW w:w="1077" w:type="dxa"/>
            <w:tcBorders>
              <w:right w:val="single" w:sz="4" w:space="0" w:color="auto"/>
            </w:tcBorders>
            <w:vAlign w:val="center"/>
          </w:tcPr>
          <w:p w14:paraId="48D2AB6A" w14:textId="77777777" w:rsidR="000750EC" w:rsidRPr="00A848C5" w:rsidRDefault="000750EC" w:rsidP="00AE3014">
            <w:pPr>
              <w:pStyle w:val="Tablehead"/>
            </w:pPr>
            <w:r w:rsidRPr="00A848C5">
              <w:t>25°-90°</w:t>
            </w:r>
          </w:p>
        </w:tc>
        <w:tc>
          <w:tcPr>
            <w:tcW w:w="1077" w:type="dxa"/>
            <w:vMerge/>
            <w:tcBorders>
              <w:left w:val="single" w:sz="4" w:space="0" w:color="auto"/>
              <w:right w:val="single" w:sz="6" w:space="0" w:color="auto"/>
            </w:tcBorders>
            <w:vAlign w:val="center"/>
          </w:tcPr>
          <w:p w14:paraId="5506DB45" w14:textId="77777777" w:rsidR="000750EC" w:rsidRPr="00A848C5" w:rsidRDefault="000750EC" w:rsidP="00AE3014">
            <w:pPr>
              <w:spacing w:before="80" w:after="80"/>
              <w:jc w:val="center"/>
              <w:rPr>
                <w:b/>
                <w:sz w:val="20"/>
              </w:rPr>
            </w:pPr>
          </w:p>
        </w:tc>
      </w:tr>
      <w:tr w:rsidR="000750EC" w:rsidRPr="00A848C5" w14:paraId="340DB6F0" w14:textId="77777777" w:rsidTr="000750EC">
        <w:tblPrEx>
          <w:tblBorders>
            <w:top w:val="single" w:sz="4" w:space="0" w:color="auto"/>
            <w:left w:val="single" w:sz="4" w:space="0" w:color="auto"/>
            <w:bottom w:val="single" w:sz="4" w:space="0" w:color="auto"/>
            <w:right w:val="single" w:sz="4" w:space="0" w:color="auto"/>
          </w:tblBorders>
        </w:tblPrEx>
        <w:trPr>
          <w:cantSplit/>
        </w:trPr>
        <w:tc>
          <w:tcPr>
            <w:tcW w:w="1908" w:type="dxa"/>
          </w:tcPr>
          <w:p w14:paraId="1E4810DD" w14:textId="77777777" w:rsidR="000750EC" w:rsidRPr="00A848C5" w:rsidRDefault="000750EC" w:rsidP="00AE3014">
            <w:pPr>
              <w:pStyle w:val="Tabletext"/>
            </w:pPr>
            <w:r w:rsidRPr="00A848C5">
              <w:t>27.5-29.5 GHz</w:t>
            </w:r>
          </w:p>
        </w:tc>
        <w:tc>
          <w:tcPr>
            <w:tcW w:w="2224" w:type="dxa"/>
          </w:tcPr>
          <w:p w14:paraId="4DBBBC23" w14:textId="77777777" w:rsidR="000750EC" w:rsidRPr="00A848C5" w:rsidRDefault="000750EC" w:rsidP="00AE3014">
            <w:pPr>
              <w:pStyle w:val="Tabletext"/>
              <w:rPr>
                <w:lang w:val="fr-FR"/>
              </w:rPr>
            </w:pPr>
            <w:r w:rsidRPr="00A848C5">
              <w:rPr>
                <w:lang w:val="fr-FR"/>
              </w:rPr>
              <w:t>Inter-satellite</w:t>
            </w:r>
          </w:p>
          <w:p w14:paraId="362D70FE" w14:textId="77777777" w:rsidR="000750EC" w:rsidRPr="00A848C5" w:rsidRDefault="000750EC" w:rsidP="00AE3014">
            <w:pPr>
              <w:pStyle w:val="Tabletext"/>
              <w:rPr>
                <w:vertAlign w:val="superscript"/>
                <w:lang w:val="fr-FR"/>
              </w:rPr>
            </w:pPr>
            <w:r w:rsidRPr="00A848C5">
              <w:rPr>
                <w:lang w:val="fr-FR"/>
              </w:rPr>
              <w:t>(</w:t>
            </w:r>
            <w:proofErr w:type="gramStart"/>
            <w:r w:rsidRPr="00A848C5">
              <w:rPr>
                <w:lang w:val="fr-FR"/>
              </w:rPr>
              <w:t>non</w:t>
            </w:r>
            <w:proofErr w:type="gramEnd"/>
            <w:r w:rsidRPr="00A848C5">
              <w:rPr>
                <w:lang w:val="fr-FR"/>
              </w:rPr>
              <w:t>-</w:t>
            </w:r>
            <w:proofErr w:type="spellStart"/>
            <w:r w:rsidRPr="00A848C5">
              <w:rPr>
                <w:lang w:val="fr-FR"/>
              </w:rPr>
              <w:t>geostationary</w:t>
            </w:r>
            <w:proofErr w:type="spellEnd"/>
            <w:r w:rsidRPr="00A848C5">
              <w:rPr>
                <w:lang w:val="fr-FR"/>
              </w:rPr>
              <w:t xml:space="preserve"> satellite </w:t>
            </w:r>
            <w:proofErr w:type="spellStart"/>
            <w:r w:rsidRPr="00A848C5">
              <w:rPr>
                <w:lang w:val="fr-FR"/>
              </w:rPr>
              <w:t>orbit</w:t>
            </w:r>
            <w:proofErr w:type="spellEnd"/>
            <w:r w:rsidRPr="00A848C5">
              <w:rPr>
                <w:lang w:val="fr-FR"/>
              </w:rPr>
              <w:t xml:space="preserve">) </w:t>
            </w:r>
            <w:r w:rsidRPr="00A848C5">
              <w:rPr>
                <w:vertAlign w:val="superscript"/>
                <w:lang w:val="fr-FR"/>
              </w:rPr>
              <w:t>xx</w:t>
            </w:r>
          </w:p>
        </w:tc>
        <w:tc>
          <w:tcPr>
            <w:tcW w:w="1135" w:type="dxa"/>
          </w:tcPr>
          <w:p w14:paraId="085497CB" w14:textId="311D5502" w:rsidR="000750EC" w:rsidRPr="00A848C5" w:rsidRDefault="000750EC" w:rsidP="00AE3014">
            <w:pPr>
              <w:pStyle w:val="Tabletext"/>
              <w:jc w:val="center"/>
            </w:pPr>
            <w:r w:rsidRPr="00A848C5">
              <w:t>−</w:t>
            </w:r>
            <w:r w:rsidRPr="00A848C5">
              <w:rPr>
                <w:strike/>
              </w:rPr>
              <w:t>115</w:t>
            </w:r>
            <w:r>
              <w:t>/-125</w:t>
            </w:r>
          </w:p>
        </w:tc>
        <w:tc>
          <w:tcPr>
            <w:tcW w:w="2223" w:type="dxa"/>
          </w:tcPr>
          <w:p w14:paraId="30500038" w14:textId="2878E958" w:rsidR="000750EC" w:rsidRPr="00A848C5" w:rsidRDefault="000750EC" w:rsidP="00AE3014">
            <w:pPr>
              <w:pStyle w:val="Tabletext"/>
              <w:jc w:val="center"/>
            </w:pPr>
            <w:r w:rsidRPr="00A848C5">
              <w:rPr>
                <w:strike/>
              </w:rPr>
              <w:t>−115</w:t>
            </w:r>
            <w:r w:rsidRPr="00A848C5">
              <w:t xml:space="preserve"> </w:t>
            </w:r>
            <w:r>
              <w:t>/-125</w:t>
            </w:r>
            <w:r w:rsidRPr="00A848C5">
              <w:t>+ 0.5(δ – 5)</w:t>
            </w:r>
          </w:p>
        </w:tc>
        <w:tc>
          <w:tcPr>
            <w:tcW w:w="1077" w:type="dxa"/>
          </w:tcPr>
          <w:p w14:paraId="08252409" w14:textId="00E6AA6F" w:rsidR="000750EC" w:rsidRPr="00A848C5" w:rsidRDefault="000750EC" w:rsidP="00AE3014">
            <w:pPr>
              <w:pStyle w:val="Tabletext"/>
              <w:jc w:val="center"/>
              <w:rPr>
                <w:strike/>
              </w:rPr>
            </w:pPr>
            <w:r w:rsidRPr="00A848C5">
              <w:rPr>
                <w:strike/>
              </w:rPr>
              <w:t>−105</w:t>
            </w:r>
            <w:r w:rsidRPr="00646D2B">
              <w:t>/-11</w:t>
            </w:r>
            <w:r>
              <w:t>5</w:t>
            </w:r>
          </w:p>
        </w:tc>
        <w:tc>
          <w:tcPr>
            <w:tcW w:w="1077" w:type="dxa"/>
          </w:tcPr>
          <w:p w14:paraId="13E42FE2" w14:textId="77777777" w:rsidR="000750EC" w:rsidRPr="00A848C5" w:rsidRDefault="000750EC" w:rsidP="00AE3014">
            <w:pPr>
              <w:pStyle w:val="Tabletext"/>
              <w:jc w:val="center"/>
            </w:pPr>
            <w:r w:rsidRPr="00A848C5">
              <w:t>1 MHz</w:t>
            </w:r>
          </w:p>
        </w:tc>
      </w:tr>
    </w:tbl>
    <w:p w14:paraId="2020D2A8" w14:textId="77777777" w:rsidR="000750EC" w:rsidRDefault="000750EC" w:rsidP="000750EC">
      <w:pPr>
        <w:pStyle w:val="ListParagraph"/>
        <w:ind w:leftChars="0" w:left="952"/>
        <w:jc w:val="both"/>
      </w:pPr>
    </w:p>
    <w:p w14:paraId="3F991FED" w14:textId="77777777" w:rsidR="000750EC" w:rsidRDefault="000750EC" w:rsidP="00732657">
      <w:pPr>
        <w:pStyle w:val="ListParagraph"/>
        <w:numPr>
          <w:ilvl w:val="0"/>
          <w:numId w:val="10"/>
        </w:numPr>
        <w:ind w:leftChars="0" w:left="952" w:hanging="357"/>
        <w:jc w:val="both"/>
      </w:pPr>
      <w:r>
        <w:t>The text regarding the invites the section is finalized.</w:t>
      </w:r>
    </w:p>
    <w:p w14:paraId="746CB419" w14:textId="00908F40" w:rsidR="000750EC" w:rsidRDefault="000750EC" w:rsidP="000750EC">
      <w:pPr>
        <w:pStyle w:val="ListParagraph"/>
        <w:numPr>
          <w:ilvl w:val="0"/>
          <w:numId w:val="10"/>
        </w:numPr>
        <w:ind w:leftChars="0"/>
        <w:jc w:val="both"/>
      </w:pPr>
      <w:r>
        <w:t xml:space="preserve">Japan requested clarification regarding the atmospheric attenuation. </w:t>
      </w:r>
    </w:p>
    <w:p w14:paraId="44D43230" w14:textId="6D53A31E" w:rsidR="001554AF" w:rsidRDefault="001554AF" w:rsidP="000750EC">
      <w:pPr>
        <w:pStyle w:val="ListParagraph"/>
        <w:numPr>
          <w:ilvl w:val="0"/>
          <w:numId w:val="10"/>
        </w:numPr>
        <w:ind w:leftChars="0"/>
        <w:jc w:val="both"/>
      </w:pPr>
      <w:r>
        <w:t>As the footnote 5.A117 could not be finalized, Annex-4 and 5 w</w:t>
      </w:r>
      <w:r w:rsidR="00FD0CD0">
        <w:t>ere</w:t>
      </w:r>
      <w:r>
        <w:t xml:space="preserve"> put under square brackets.</w:t>
      </w:r>
    </w:p>
    <w:p w14:paraId="13DE2891" w14:textId="77777777" w:rsidR="00682F33" w:rsidRDefault="00682F33" w:rsidP="00887BA8">
      <w:pPr>
        <w:ind w:left="360"/>
        <w:rPr>
          <w:b/>
          <w:bCs/>
        </w:rPr>
      </w:pPr>
      <w:r>
        <w:rPr>
          <w:b/>
          <w:bCs/>
        </w:rPr>
        <w:t>Offline discussion among regional coordinators:</w:t>
      </w:r>
    </w:p>
    <w:p w14:paraId="548EFA98" w14:textId="77777777" w:rsidR="00FD0CD0" w:rsidRPr="00FD0CD0" w:rsidRDefault="00D815BC" w:rsidP="00FD0CD0">
      <w:pPr>
        <w:pStyle w:val="ListParagraph"/>
        <w:numPr>
          <w:ilvl w:val="0"/>
          <w:numId w:val="22"/>
        </w:numPr>
        <w:ind w:leftChars="0"/>
        <w:rPr>
          <w:color w:val="000000" w:themeColor="text1"/>
        </w:rPr>
      </w:pPr>
      <w:r w:rsidRPr="00FD0CD0">
        <w:rPr>
          <w:color w:val="000000" w:themeColor="text1"/>
        </w:rPr>
        <w:t xml:space="preserve">The meeting </w:t>
      </w:r>
      <w:r w:rsidR="00682F33" w:rsidRPr="00FD0CD0">
        <w:rPr>
          <w:color w:val="000000" w:themeColor="text1"/>
        </w:rPr>
        <w:t xml:space="preserve">focussed discussion mainly on </w:t>
      </w:r>
      <w:r w:rsidR="004517E8" w:rsidRPr="00FD0CD0">
        <w:rPr>
          <w:color w:val="000000" w:themeColor="text1"/>
        </w:rPr>
        <w:t xml:space="preserve">achieving consensus towards </w:t>
      </w:r>
      <w:proofErr w:type="spellStart"/>
      <w:r w:rsidR="004517E8" w:rsidRPr="00FD0CD0">
        <w:rPr>
          <w:color w:val="000000" w:themeColor="text1"/>
        </w:rPr>
        <w:t>pfd</w:t>
      </w:r>
      <w:proofErr w:type="spellEnd"/>
      <w:r w:rsidR="004517E8" w:rsidRPr="00FD0CD0">
        <w:rPr>
          <w:color w:val="000000" w:themeColor="text1"/>
        </w:rPr>
        <w:t xml:space="preserve"> value for protection of primary services and the editorials for </w:t>
      </w:r>
      <w:r w:rsidR="00682F33" w:rsidRPr="00FD0CD0">
        <w:rPr>
          <w:color w:val="000000" w:themeColor="text1"/>
        </w:rPr>
        <w:t xml:space="preserve">addressing the </w:t>
      </w:r>
      <w:r w:rsidR="004517E8" w:rsidRPr="00FD0CD0">
        <w:rPr>
          <w:color w:val="000000" w:themeColor="text1"/>
        </w:rPr>
        <w:t>protection in secondary services.</w:t>
      </w:r>
    </w:p>
    <w:p w14:paraId="3CFA93AE" w14:textId="03B53976" w:rsidR="00FD0CD0" w:rsidRDefault="00FD0CD0" w:rsidP="00FD0CD0">
      <w:pPr>
        <w:pStyle w:val="ListParagraph"/>
        <w:numPr>
          <w:ilvl w:val="0"/>
          <w:numId w:val="22"/>
        </w:numPr>
        <w:ind w:leftChars="0"/>
        <w:rPr>
          <w:color w:val="000000" w:themeColor="text1"/>
        </w:rPr>
      </w:pPr>
      <w:r>
        <w:rPr>
          <w:color w:val="000000" w:themeColor="text1"/>
        </w:rPr>
        <w:t xml:space="preserve">The mask proposed by CEPT and the editorial for protection of secondary service was discussed as a package with ASMG. However , it was not agreed and ASMG suggested the combination of RES 169 mask and the Table 21-4 values with 5 dB reduced </w:t>
      </w:r>
      <w:proofErr w:type="spellStart"/>
      <w:r>
        <w:rPr>
          <w:color w:val="000000" w:themeColor="text1"/>
        </w:rPr>
        <w:t>pfd</w:t>
      </w:r>
      <w:proofErr w:type="spellEnd"/>
      <w:r>
        <w:rPr>
          <w:color w:val="000000" w:themeColor="text1"/>
        </w:rPr>
        <w:t xml:space="preserve"> values over different</w:t>
      </w:r>
      <w:r w:rsidR="00EA272E">
        <w:rPr>
          <w:color w:val="000000" w:themeColor="text1"/>
        </w:rPr>
        <w:t xml:space="preserve"> elevation</w:t>
      </w:r>
      <w:bookmarkStart w:id="0" w:name="_GoBack"/>
      <w:bookmarkEnd w:id="0"/>
      <w:r>
        <w:rPr>
          <w:color w:val="000000" w:themeColor="text1"/>
        </w:rPr>
        <w:t xml:space="preserve"> ranges.</w:t>
      </w:r>
    </w:p>
    <w:p w14:paraId="2CDE0BCB" w14:textId="033B5105" w:rsidR="002500A3" w:rsidRDefault="002500A3" w:rsidP="00FD0CD0">
      <w:pPr>
        <w:pStyle w:val="ListParagraph"/>
        <w:numPr>
          <w:ilvl w:val="0"/>
          <w:numId w:val="22"/>
        </w:numPr>
        <w:ind w:leftChars="0"/>
        <w:rPr>
          <w:color w:val="000000" w:themeColor="text1"/>
        </w:rPr>
      </w:pPr>
      <w:r>
        <w:rPr>
          <w:color w:val="000000" w:themeColor="text1"/>
        </w:rPr>
        <w:lastRenderedPageBreak/>
        <w:t>The Temp document with revised proposal for compromise is also attached herewith for consideration.</w:t>
      </w:r>
    </w:p>
    <w:p w14:paraId="344B5944" w14:textId="77777777" w:rsidR="001C274B" w:rsidRPr="00A03707" w:rsidRDefault="001C274B" w:rsidP="00A03707">
      <w:pPr>
        <w:pStyle w:val="ListParagraph"/>
        <w:ind w:leftChars="0" w:left="720"/>
        <w:rPr>
          <w:color w:val="000000" w:themeColor="text1"/>
        </w:rPr>
      </w:pPr>
    </w:p>
    <w:p w14:paraId="60E7BC44" w14:textId="0B817B1E" w:rsidR="008742F3" w:rsidRDefault="008742F3" w:rsidP="00086F2C">
      <w:pPr>
        <w:pStyle w:val="ListParagraph"/>
        <w:numPr>
          <w:ilvl w:val="0"/>
          <w:numId w:val="1"/>
        </w:numPr>
        <w:ind w:leftChars="0" w:left="360"/>
      </w:pPr>
      <w:r w:rsidRPr="008D7B74">
        <w:t xml:space="preserve">Issues </w:t>
      </w:r>
      <w:r w:rsidR="000B5983" w:rsidRPr="008D7B74">
        <w:t xml:space="preserve">which </w:t>
      </w:r>
      <w:r w:rsidRPr="008D7B74">
        <w:t xml:space="preserve">require </w:t>
      </w:r>
      <w:r w:rsidR="00D1517A" w:rsidRPr="008D7B74">
        <w:t>discussion at</w:t>
      </w:r>
      <w:r w:rsidRPr="008D7B74">
        <w:t xml:space="preserve"> AP</w:t>
      </w:r>
      <w:r w:rsidR="003346ED" w:rsidRPr="008D7B74">
        <w:t>T</w:t>
      </w:r>
      <w:r w:rsidRPr="008D7B74">
        <w:t xml:space="preserve"> Coordination </w:t>
      </w:r>
      <w:r w:rsidR="003346ED" w:rsidRPr="008D7B74">
        <w:t>M</w:t>
      </w:r>
      <w:r w:rsidRPr="008D7B74">
        <w:t>eeting</w:t>
      </w:r>
      <w:r w:rsidR="003346ED" w:rsidRPr="008D7B74">
        <w:t>s</w:t>
      </w:r>
      <w:r w:rsidR="00D1517A" w:rsidRPr="008D7B74">
        <w:t xml:space="preserve"> and seek guidance thereafter</w:t>
      </w:r>
    </w:p>
    <w:p w14:paraId="29E12EE5" w14:textId="58FB69FA" w:rsidR="001C274B" w:rsidRDefault="00FD0CD0" w:rsidP="00C82B13">
      <w:pPr>
        <w:rPr>
          <w:i/>
        </w:rPr>
      </w:pPr>
      <w:r>
        <w:rPr>
          <w:i/>
        </w:rPr>
        <w:t xml:space="preserve">   None</w:t>
      </w:r>
    </w:p>
    <w:p w14:paraId="2D266278" w14:textId="77777777" w:rsidR="005D6FB1" w:rsidRDefault="005D6FB1" w:rsidP="00C82B13">
      <w:pPr>
        <w:rPr>
          <w:i/>
        </w:rPr>
      </w:pPr>
    </w:p>
    <w:p w14:paraId="1B65AE19" w14:textId="72B521DE" w:rsidR="00C82B13" w:rsidRPr="008D7B74" w:rsidRDefault="00C82B13" w:rsidP="00C82B13">
      <w:r w:rsidRPr="008D7B74">
        <w:rPr>
          <w:i/>
        </w:rPr>
        <w:t xml:space="preserve">Note: Coordinators </w:t>
      </w:r>
      <w:r w:rsidR="009E27EC" w:rsidRPr="008D7B74">
        <w:rPr>
          <w:i/>
        </w:rPr>
        <w:t>are</w:t>
      </w:r>
      <w:r w:rsidRPr="008D7B74">
        <w:rPr>
          <w:i/>
        </w:rPr>
        <w:t xml:space="preserve"> encouraged to conduct informal consultation with interested APT Members on the issues/topics under no. </w:t>
      </w:r>
      <w:r w:rsidR="00550E88" w:rsidRPr="008D7B74">
        <w:rPr>
          <w:i/>
        </w:rPr>
        <w:t xml:space="preserve">2 </w:t>
      </w:r>
      <w:r w:rsidRPr="008D7B74">
        <w:rPr>
          <w:i/>
        </w:rPr>
        <w:t>and inform the outcomes of consultation to the Coordination Meeting</w:t>
      </w:r>
      <w:r w:rsidR="003346ED" w:rsidRPr="008D7B74">
        <w:t>.</w:t>
      </w:r>
      <w:r w:rsidR="003346ED" w:rsidRPr="008D7B74">
        <w:rPr>
          <w:i/>
          <w:iCs/>
        </w:rPr>
        <w:t xml:space="preserve"> Coordinators can also organize coordination meetings on the respective agenda items whenever necessary.   </w:t>
      </w:r>
      <w:r w:rsidRPr="008D7B74">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B735" w14:textId="77777777" w:rsidR="0004039E" w:rsidRDefault="0004039E" w:rsidP="00D1517A">
      <w:r>
        <w:separator/>
      </w:r>
    </w:p>
  </w:endnote>
  <w:endnote w:type="continuationSeparator" w:id="0">
    <w:p w14:paraId="20352C5E" w14:textId="77777777" w:rsidR="0004039E" w:rsidRDefault="0004039E" w:rsidP="00D1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EFF7" w14:textId="77777777" w:rsidR="0004039E" w:rsidRDefault="0004039E" w:rsidP="00D1517A">
      <w:r>
        <w:separator/>
      </w:r>
    </w:p>
  </w:footnote>
  <w:footnote w:type="continuationSeparator" w:id="0">
    <w:p w14:paraId="5F8868B7" w14:textId="77777777" w:rsidR="0004039E" w:rsidRDefault="0004039E" w:rsidP="00D1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8D5"/>
    <w:multiLevelType w:val="hybridMultilevel"/>
    <w:tmpl w:val="96C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3D69"/>
    <w:multiLevelType w:val="hybridMultilevel"/>
    <w:tmpl w:val="3472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A00C4"/>
    <w:multiLevelType w:val="hybridMultilevel"/>
    <w:tmpl w:val="3BB2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94DFB"/>
    <w:multiLevelType w:val="hybridMultilevel"/>
    <w:tmpl w:val="C5B8C4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B4CF0"/>
    <w:multiLevelType w:val="multilevel"/>
    <w:tmpl w:val="B51A4224"/>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6" w15:restartNumberingAfterBreak="0">
    <w:nsid w:val="2D7D6244"/>
    <w:multiLevelType w:val="hybridMultilevel"/>
    <w:tmpl w:val="2A7C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8"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39EA7B3D"/>
    <w:multiLevelType w:val="hybridMultilevel"/>
    <w:tmpl w:val="51B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D3DD5"/>
    <w:multiLevelType w:val="hybridMultilevel"/>
    <w:tmpl w:val="C27A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2" w15:restartNumberingAfterBreak="0">
    <w:nsid w:val="668C4B21"/>
    <w:multiLevelType w:val="hybridMultilevel"/>
    <w:tmpl w:val="EF1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82255"/>
    <w:multiLevelType w:val="hybridMultilevel"/>
    <w:tmpl w:val="7C1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5" w15:restartNumberingAfterBreak="0">
    <w:nsid w:val="6EB326AD"/>
    <w:multiLevelType w:val="hybridMultilevel"/>
    <w:tmpl w:val="0EE2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03E99"/>
    <w:multiLevelType w:val="hybridMultilevel"/>
    <w:tmpl w:val="61DA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8"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103F6A"/>
    <w:multiLevelType w:val="hybridMultilevel"/>
    <w:tmpl w:val="E958869C"/>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15:restartNumberingAfterBreak="0">
    <w:nsid w:val="7DD477CA"/>
    <w:multiLevelType w:val="hybridMultilevel"/>
    <w:tmpl w:val="9F8E70E0"/>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1" w15:restartNumberingAfterBreak="0">
    <w:nsid w:val="7E0960FD"/>
    <w:multiLevelType w:val="hybridMultilevel"/>
    <w:tmpl w:val="244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18"/>
  </w:num>
  <w:num w:numId="5">
    <w:abstractNumId w:val="17"/>
  </w:num>
  <w:num w:numId="6">
    <w:abstractNumId w:val="14"/>
  </w:num>
  <w:num w:numId="7">
    <w:abstractNumId w:val="0"/>
  </w:num>
  <w:num w:numId="8">
    <w:abstractNumId w:val="20"/>
  </w:num>
  <w:num w:numId="9">
    <w:abstractNumId w:val="21"/>
  </w:num>
  <w:num w:numId="10">
    <w:abstractNumId w:val="19"/>
  </w:num>
  <w:num w:numId="11">
    <w:abstractNumId w:val="1"/>
  </w:num>
  <w:num w:numId="12">
    <w:abstractNumId w:val="4"/>
  </w:num>
  <w:num w:numId="13">
    <w:abstractNumId w:val="6"/>
  </w:num>
  <w:num w:numId="14">
    <w:abstractNumId w:val="15"/>
  </w:num>
  <w:num w:numId="15">
    <w:abstractNumId w:val="10"/>
  </w:num>
  <w:num w:numId="16">
    <w:abstractNumId w:val="16"/>
  </w:num>
  <w:num w:numId="17">
    <w:abstractNumId w:val="3"/>
  </w:num>
  <w:num w:numId="18">
    <w:abstractNumId w:val="12"/>
  </w:num>
  <w:num w:numId="19">
    <w:abstractNumId w:val="13"/>
  </w:num>
  <w:num w:numId="20">
    <w:abstractNumId w:val="9"/>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4039E"/>
    <w:rsid w:val="0004163C"/>
    <w:rsid w:val="000612C7"/>
    <w:rsid w:val="000750EC"/>
    <w:rsid w:val="00086F2C"/>
    <w:rsid w:val="000A0D23"/>
    <w:rsid w:val="000A682B"/>
    <w:rsid w:val="000B0F2C"/>
    <w:rsid w:val="000B5983"/>
    <w:rsid w:val="000F6F7A"/>
    <w:rsid w:val="00100B0E"/>
    <w:rsid w:val="00106268"/>
    <w:rsid w:val="001134AC"/>
    <w:rsid w:val="00140221"/>
    <w:rsid w:val="00143D2F"/>
    <w:rsid w:val="001554AF"/>
    <w:rsid w:val="00164B74"/>
    <w:rsid w:val="0017709C"/>
    <w:rsid w:val="001A1F17"/>
    <w:rsid w:val="001C07DC"/>
    <w:rsid w:val="001C274B"/>
    <w:rsid w:val="001D1373"/>
    <w:rsid w:val="001E0789"/>
    <w:rsid w:val="002317D0"/>
    <w:rsid w:val="002500A3"/>
    <w:rsid w:val="00283D24"/>
    <w:rsid w:val="00291E89"/>
    <w:rsid w:val="002E5199"/>
    <w:rsid w:val="002E5632"/>
    <w:rsid w:val="002E79F1"/>
    <w:rsid w:val="0030220F"/>
    <w:rsid w:val="00306694"/>
    <w:rsid w:val="00312053"/>
    <w:rsid w:val="003346ED"/>
    <w:rsid w:val="00373595"/>
    <w:rsid w:val="00394D8D"/>
    <w:rsid w:val="003B65DF"/>
    <w:rsid w:val="003C7D4C"/>
    <w:rsid w:val="0040578F"/>
    <w:rsid w:val="004466A8"/>
    <w:rsid w:val="004517E8"/>
    <w:rsid w:val="0045436D"/>
    <w:rsid w:val="00461D9D"/>
    <w:rsid w:val="00464A4B"/>
    <w:rsid w:val="004A3E94"/>
    <w:rsid w:val="004A574B"/>
    <w:rsid w:val="004D42F0"/>
    <w:rsid w:val="004D7CC0"/>
    <w:rsid w:val="004E6869"/>
    <w:rsid w:val="004F6359"/>
    <w:rsid w:val="00507CCD"/>
    <w:rsid w:val="00550E88"/>
    <w:rsid w:val="005755E6"/>
    <w:rsid w:val="00580B2B"/>
    <w:rsid w:val="005A2F84"/>
    <w:rsid w:val="005B20AA"/>
    <w:rsid w:val="005C5BFE"/>
    <w:rsid w:val="005D3428"/>
    <w:rsid w:val="005D6FB1"/>
    <w:rsid w:val="0060048D"/>
    <w:rsid w:val="00613BF1"/>
    <w:rsid w:val="00627862"/>
    <w:rsid w:val="00646D2B"/>
    <w:rsid w:val="00652F11"/>
    <w:rsid w:val="006544AD"/>
    <w:rsid w:val="0066379E"/>
    <w:rsid w:val="00675E27"/>
    <w:rsid w:val="00677357"/>
    <w:rsid w:val="00682F33"/>
    <w:rsid w:val="00683E04"/>
    <w:rsid w:val="00694191"/>
    <w:rsid w:val="006D6FE2"/>
    <w:rsid w:val="00753DD0"/>
    <w:rsid w:val="0076369D"/>
    <w:rsid w:val="00775FFC"/>
    <w:rsid w:val="007859B0"/>
    <w:rsid w:val="007B7B65"/>
    <w:rsid w:val="007C0700"/>
    <w:rsid w:val="007C0BD2"/>
    <w:rsid w:val="007C4951"/>
    <w:rsid w:val="007E7C9F"/>
    <w:rsid w:val="00820B47"/>
    <w:rsid w:val="008742F3"/>
    <w:rsid w:val="00887BA8"/>
    <w:rsid w:val="008973AB"/>
    <w:rsid w:val="008B1572"/>
    <w:rsid w:val="008C1DDE"/>
    <w:rsid w:val="008D7B74"/>
    <w:rsid w:val="008E5F99"/>
    <w:rsid w:val="008F16EF"/>
    <w:rsid w:val="00977C8C"/>
    <w:rsid w:val="009A1800"/>
    <w:rsid w:val="009C6F82"/>
    <w:rsid w:val="009E27EC"/>
    <w:rsid w:val="009F062B"/>
    <w:rsid w:val="00A03707"/>
    <w:rsid w:val="00A848C5"/>
    <w:rsid w:val="00A90F69"/>
    <w:rsid w:val="00AA3216"/>
    <w:rsid w:val="00AC461C"/>
    <w:rsid w:val="00AF3428"/>
    <w:rsid w:val="00AF5DD7"/>
    <w:rsid w:val="00B309DF"/>
    <w:rsid w:val="00B37B5D"/>
    <w:rsid w:val="00B445FF"/>
    <w:rsid w:val="00B654E5"/>
    <w:rsid w:val="00B76CC3"/>
    <w:rsid w:val="00B91A61"/>
    <w:rsid w:val="00BB78FC"/>
    <w:rsid w:val="00BD62D6"/>
    <w:rsid w:val="00C11F53"/>
    <w:rsid w:val="00C15EBD"/>
    <w:rsid w:val="00C672EC"/>
    <w:rsid w:val="00C74B84"/>
    <w:rsid w:val="00C750CB"/>
    <w:rsid w:val="00C82B13"/>
    <w:rsid w:val="00C857DA"/>
    <w:rsid w:val="00C8669B"/>
    <w:rsid w:val="00C90095"/>
    <w:rsid w:val="00CA6D9E"/>
    <w:rsid w:val="00CB3C15"/>
    <w:rsid w:val="00CC7FB3"/>
    <w:rsid w:val="00CD71B8"/>
    <w:rsid w:val="00CE18AC"/>
    <w:rsid w:val="00CF0F2C"/>
    <w:rsid w:val="00D059B6"/>
    <w:rsid w:val="00D1517A"/>
    <w:rsid w:val="00D3376A"/>
    <w:rsid w:val="00D4604D"/>
    <w:rsid w:val="00D66280"/>
    <w:rsid w:val="00D815BC"/>
    <w:rsid w:val="00DA490F"/>
    <w:rsid w:val="00DE30EE"/>
    <w:rsid w:val="00DF75EF"/>
    <w:rsid w:val="00E0396B"/>
    <w:rsid w:val="00E11D02"/>
    <w:rsid w:val="00E17B83"/>
    <w:rsid w:val="00E43695"/>
    <w:rsid w:val="00E4535E"/>
    <w:rsid w:val="00E50F16"/>
    <w:rsid w:val="00E919F0"/>
    <w:rsid w:val="00EA1B34"/>
    <w:rsid w:val="00EA272E"/>
    <w:rsid w:val="00EB3700"/>
    <w:rsid w:val="00EC68D5"/>
    <w:rsid w:val="00EF03D1"/>
    <w:rsid w:val="00EF3E3C"/>
    <w:rsid w:val="00EF5AB1"/>
    <w:rsid w:val="00EF7969"/>
    <w:rsid w:val="00F02465"/>
    <w:rsid w:val="00F069E7"/>
    <w:rsid w:val="00F12589"/>
    <w:rsid w:val="00F32AE0"/>
    <w:rsid w:val="00F45C7E"/>
    <w:rsid w:val="00F47622"/>
    <w:rsid w:val="00F9328C"/>
    <w:rsid w:val="00FB4B0C"/>
    <w:rsid w:val="00FC3BCB"/>
    <w:rsid w:val="00FD0CD0"/>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6D"/>
    <w:pPr>
      <w:spacing w:after="0" w:line="240" w:lineRule="auto"/>
      <w:jc w:val="left"/>
    </w:pPr>
    <w:rPr>
      <w:rFonts w:ascii="Times New Roman" w:eastAsia="Times New Roman" w:hAnsi="Times New Roman" w:cs="Times New Roman"/>
      <w:kern w:val="0"/>
      <w:sz w:val="24"/>
      <w:szCs w:val="24"/>
      <w:lang w:val="en-IN" w:eastAsia="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link w:val="TableheadChar"/>
    <w:qFormat/>
    <w:rsid w:val="00FF20DE"/>
    <w:pPr>
      <w:keepNext/>
      <w:tabs>
        <w:tab w:val="left" w:pos="1134"/>
        <w:tab w:val="left" w:pos="1871"/>
        <w:tab w:val="left" w:pos="2268"/>
      </w:tabs>
      <w:overflowPunct w:val="0"/>
      <w:adjustRightInd w:val="0"/>
      <w:spacing w:before="80" w:after="80"/>
      <w:jc w:val="center"/>
      <w:textAlignment w:val="baseline"/>
    </w:pPr>
    <w:rPr>
      <w:rFonts w:ascii="Times New Roman Bold" w:eastAsia="MS Mincho" w:hAnsi="Times New Roman Bold" w:cs="Times New Roman Bold"/>
      <w:b/>
      <w:szCs w:val="20"/>
      <w:lang w:val="en-GB"/>
    </w:rPr>
  </w:style>
  <w:style w:type="paragraph" w:customStyle="1" w:styleId="Tabletext">
    <w:name w:val="Table_text"/>
    <w:basedOn w:val="Normal"/>
    <w:link w:val="TabletextChar"/>
    <w:qFormat/>
    <w:rsid w:val="00FF20D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MS Mincho"/>
      <w:szCs w:val="20"/>
      <w:lang w:val="en-GB"/>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spacing w:before="100" w:beforeAutospacing="1" w:after="100" w:afterAutospacing="1"/>
    </w:pPr>
  </w:style>
  <w:style w:type="paragraph" w:customStyle="1" w:styleId="Note">
    <w:name w:val="Note"/>
    <w:basedOn w:val="Normal"/>
    <w:next w:val="Normal"/>
    <w:link w:val="NoteChar"/>
    <w:qFormat/>
    <w:rsid w:val="00464A4B"/>
    <w:pPr>
      <w:tabs>
        <w:tab w:val="left" w:pos="284"/>
        <w:tab w:val="left" w:pos="1134"/>
        <w:tab w:val="left" w:pos="1871"/>
        <w:tab w:val="left" w:pos="2268"/>
      </w:tabs>
      <w:overflowPunct w:val="0"/>
      <w:adjustRightInd w:val="0"/>
      <w:spacing w:before="80"/>
      <w:textAlignment w:val="baseline"/>
    </w:pPr>
    <w:rPr>
      <w:szCs w:val="20"/>
      <w:lang w:val="en-GB"/>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 w:type="character" w:customStyle="1" w:styleId="TableheadChar">
    <w:name w:val="Table_head Char"/>
    <w:basedOn w:val="DefaultParagraphFont"/>
    <w:link w:val="Tablehead"/>
    <w:qFormat/>
    <w:locked/>
    <w:rsid w:val="00A848C5"/>
    <w:rPr>
      <w:rFonts w:ascii="Times New Roman Bold" w:eastAsia="MS Mincho" w:hAnsi="Times New Roman Bold" w:cs="Times New Roman Bold"/>
      <w:b/>
      <w:kern w:val="0"/>
      <w:sz w:val="24"/>
      <w:szCs w:val="20"/>
      <w:lang w:val="en-GB" w:eastAsia="en-US" w:bidi="ml-IN"/>
    </w:rPr>
  </w:style>
  <w:style w:type="character" w:customStyle="1" w:styleId="TabletextChar">
    <w:name w:val="Table_text Char"/>
    <w:basedOn w:val="DefaultParagraphFont"/>
    <w:link w:val="Tabletext"/>
    <w:qFormat/>
    <w:rsid w:val="00A848C5"/>
    <w:rPr>
      <w:rFonts w:ascii="Times New Roman" w:eastAsia="MS Mincho" w:hAnsi="Times New Roman" w:cs="Times New Roman"/>
      <w:kern w:val="0"/>
      <w:sz w:val="24"/>
      <w:szCs w:val="20"/>
      <w:lang w:val="en-GB" w:eastAsia="en-US" w:bidi="ml-IN"/>
    </w:rPr>
  </w:style>
  <w:style w:type="paragraph" w:styleId="BalloonText">
    <w:name w:val="Balloon Text"/>
    <w:basedOn w:val="Normal"/>
    <w:link w:val="BalloonTextChar"/>
    <w:uiPriority w:val="99"/>
    <w:semiHidden/>
    <w:unhideWhenUsed/>
    <w:rsid w:val="00A848C5"/>
    <w:rPr>
      <w:sz w:val="18"/>
      <w:szCs w:val="18"/>
    </w:rPr>
  </w:style>
  <w:style w:type="character" w:customStyle="1" w:styleId="BalloonTextChar">
    <w:name w:val="Balloon Text Char"/>
    <w:basedOn w:val="DefaultParagraphFont"/>
    <w:link w:val="BalloonText"/>
    <w:uiPriority w:val="99"/>
    <w:semiHidden/>
    <w:rsid w:val="00A848C5"/>
    <w:rPr>
      <w:rFonts w:ascii="Times New Roman" w:eastAsia="Times New Roman" w:hAnsi="Times New Roman" w:cs="Times New Roman"/>
      <w:kern w:val="0"/>
      <w:sz w:val="18"/>
      <w:szCs w:val="18"/>
      <w:lang w:val="en-IN"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400714342">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 w:id="18773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453</Words>
  <Characters>2586</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55</cp:revision>
  <dcterms:created xsi:type="dcterms:W3CDTF">2023-11-15T04:04:00Z</dcterms:created>
  <dcterms:modified xsi:type="dcterms:W3CDTF">2023-12-04T15:19:00Z</dcterms:modified>
</cp:coreProperties>
</file>