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600F" w14:textId="4D611C14" w:rsidR="00D059B6" w:rsidRPr="005755E6" w:rsidRDefault="00EA1B34" w:rsidP="000B59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5E6">
        <w:rPr>
          <w:rFonts w:ascii="Times New Roman" w:hAnsi="Times New Roman" w:cs="Times New Roman"/>
          <w:b/>
          <w:sz w:val="28"/>
          <w:szCs w:val="28"/>
        </w:rPr>
        <w:t xml:space="preserve">Report of the Agenda Item Coordinator during </w:t>
      </w:r>
      <w:r w:rsidR="003346ED">
        <w:rPr>
          <w:rFonts w:ascii="Times New Roman" w:hAnsi="Times New Roman" w:cs="Times New Roman"/>
          <w:b/>
          <w:sz w:val="28"/>
          <w:szCs w:val="28"/>
        </w:rPr>
        <w:t>WRC-</w:t>
      </w:r>
      <w:r w:rsidR="00550E88">
        <w:rPr>
          <w:rFonts w:ascii="Times New Roman" w:hAnsi="Times New Roman" w:cs="Times New Roman"/>
          <w:b/>
          <w:sz w:val="28"/>
          <w:szCs w:val="28"/>
        </w:rPr>
        <w:t>23</w:t>
      </w:r>
    </w:p>
    <w:p w14:paraId="462DA8EE" w14:textId="77777777" w:rsidR="00366956" w:rsidRDefault="00366956" w:rsidP="003669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and email of the Coordinator:</w:t>
      </w:r>
    </w:p>
    <w:p w14:paraId="60B69C7C" w14:textId="77777777" w:rsidR="00366956" w:rsidRDefault="00366956" w:rsidP="003669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Reza Naderi Jahromi (</w:t>
      </w: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reza.naderi.j@gmail.com</w:t>
        </w:r>
      </w:hyperlink>
      <w:r>
        <w:rPr>
          <w:rFonts w:ascii="Times New Roman" w:hAnsi="Times New Roman" w:cs="Times New Roman"/>
          <w:sz w:val="24"/>
          <w:szCs w:val="24"/>
          <w:rtl/>
        </w:rPr>
        <w:t>(</w:t>
      </w:r>
    </w:p>
    <w:p w14:paraId="589E1BB5" w14:textId="3AE2424A" w:rsidR="00366956" w:rsidRDefault="00366956" w:rsidP="003669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Date: </w:t>
      </w:r>
      <w:r w:rsidR="003E02AE">
        <w:rPr>
          <w:rFonts w:ascii="Times New Roman" w:hAnsi="Times New Roman" w:cs="Times New Roman"/>
          <w:sz w:val="24"/>
          <w:szCs w:val="24"/>
        </w:rPr>
        <w:t>0</w:t>
      </w:r>
      <w:r w:rsidR="00B245C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02AE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.2023</w:t>
      </w:r>
    </w:p>
    <w:p w14:paraId="17E39891" w14:textId="77777777" w:rsidR="000B5983" w:rsidRPr="00AC461C" w:rsidRDefault="000B5983" w:rsidP="00086F2C">
      <w:pPr>
        <w:rPr>
          <w:rFonts w:ascii="Times New Roman" w:hAnsi="Times New Roman" w:cs="Times New Roman"/>
          <w:sz w:val="24"/>
          <w:szCs w:val="24"/>
        </w:rPr>
      </w:pPr>
    </w:p>
    <w:p w14:paraId="687826B4" w14:textId="77777777" w:rsidR="00366956" w:rsidRDefault="00217FDA" w:rsidP="00217FDA">
      <w:pPr>
        <w:pStyle w:val="ListParagraph"/>
        <w:numPr>
          <w:ilvl w:val="0"/>
          <w:numId w:val="8"/>
        </w:numPr>
        <w:spacing w:line="256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217FDA">
        <w:rPr>
          <w:rFonts w:ascii="Times New Roman" w:hAnsi="Times New Roman" w:cs="Times New Roman"/>
          <w:sz w:val="24"/>
          <w:szCs w:val="24"/>
        </w:rPr>
        <w:t>Agenda Item 1.19 (new FSS Allocation in Region 2 in 17.3GHz – 17.7GHz)</w:t>
      </w:r>
    </w:p>
    <w:p w14:paraId="2E3AE5B2" w14:textId="302DCF58" w:rsidR="00217FDA" w:rsidRPr="00217FDA" w:rsidRDefault="00217FDA" w:rsidP="00366956">
      <w:pPr>
        <w:pStyle w:val="ListParagraph"/>
        <w:spacing w:line="256" w:lineRule="auto"/>
        <w:ind w:leftChars="0" w:left="720"/>
        <w:rPr>
          <w:rFonts w:ascii="Times New Roman" w:hAnsi="Times New Roman" w:cs="Times New Roman"/>
          <w:sz w:val="24"/>
          <w:szCs w:val="24"/>
        </w:rPr>
      </w:pPr>
      <w:r w:rsidRPr="00217FDA">
        <w:rPr>
          <w:rFonts w:ascii="Times New Roman" w:hAnsi="Times New Roman" w:cs="Times New Roman"/>
          <w:sz w:val="24"/>
          <w:szCs w:val="24"/>
        </w:rPr>
        <w:t>APT Common Proposal:  </w:t>
      </w:r>
      <w:hyperlink r:id="rId8" w:history="1">
        <w:r w:rsidRPr="00217FDA">
          <w:rPr>
            <w:rStyle w:val="Hyperlink"/>
            <w:rFonts w:ascii="Times New Roman" w:hAnsi="Times New Roman" w:cs="Times New Roman"/>
            <w:sz w:val="24"/>
            <w:szCs w:val="24"/>
          </w:rPr>
          <w:t>Doc. WRC-23/62 (Add.19)</w:t>
        </w:r>
      </w:hyperlink>
      <w:r w:rsidRPr="00217F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DAD24" w14:textId="50C336AC" w:rsidR="008742F3" w:rsidRDefault="00EA1B34" w:rsidP="00217FDA">
      <w:pPr>
        <w:pStyle w:val="ListParagraph"/>
        <w:numPr>
          <w:ilvl w:val="0"/>
          <w:numId w:val="8"/>
        </w:numPr>
        <w:spacing w:line="256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 xml:space="preserve">Topics proposed by other regional Groups or ITU Members which are </w:t>
      </w:r>
      <w:r w:rsidR="008742F3" w:rsidRPr="00AC461C">
        <w:rPr>
          <w:rFonts w:ascii="Times New Roman" w:hAnsi="Times New Roman" w:cs="Times New Roman"/>
          <w:sz w:val="24"/>
          <w:szCs w:val="24"/>
        </w:rPr>
        <w:t xml:space="preserve">not included in </w:t>
      </w:r>
      <w:r w:rsidR="00550E88">
        <w:rPr>
          <w:rFonts w:ascii="Times New Roman" w:hAnsi="Times New Roman" w:cs="Times New Roman"/>
          <w:sz w:val="24"/>
          <w:szCs w:val="24"/>
        </w:rPr>
        <w:t>ACP and APT View</w:t>
      </w:r>
    </w:p>
    <w:p w14:paraId="4568F13F" w14:textId="18BBA287" w:rsidR="00BB1D78" w:rsidRPr="00286B97" w:rsidRDefault="00B3579E" w:rsidP="00B3579E">
      <w:pPr>
        <w:pStyle w:val="ListParagraph"/>
        <w:spacing w:line="256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B3579E">
        <w:rPr>
          <w:rFonts w:ascii="Times New Roman" w:hAnsi="Times New Roman" w:cs="Times New Roman"/>
          <w:sz w:val="24"/>
          <w:szCs w:val="24"/>
        </w:rPr>
        <w:t>During the meeting, a proposal from CEPT was put forward for a new FSS Allocation in Region 3 within the 17.3GHz – 17.7GHz at the conference of WRC-23. This proposal faced opposition from some other regional groups who argued that it should not be implemented without conducting studies.</w:t>
      </w:r>
    </w:p>
    <w:p w14:paraId="33783930" w14:textId="77777777" w:rsidR="004D7CC0" w:rsidRDefault="004D7CC0" w:rsidP="00AC506F">
      <w:pPr>
        <w:ind w:hanging="350"/>
        <w:rPr>
          <w:rFonts w:ascii="Times New Roman" w:hAnsi="Times New Roman" w:cs="Times New Roman"/>
          <w:sz w:val="24"/>
          <w:szCs w:val="24"/>
        </w:rPr>
      </w:pPr>
    </w:p>
    <w:p w14:paraId="0B87CF1D" w14:textId="5B0CE0AA" w:rsidR="00EA1B34" w:rsidRDefault="008742F3" w:rsidP="00217FDA">
      <w:pPr>
        <w:pStyle w:val="ListParagraph"/>
        <w:numPr>
          <w:ilvl w:val="0"/>
          <w:numId w:val="8"/>
        </w:numPr>
        <w:spacing w:line="256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217FDA">
        <w:rPr>
          <w:rFonts w:ascii="Times New Roman" w:hAnsi="Times New Roman" w:cs="Times New Roman"/>
          <w:sz w:val="24"/>
          <w:szCs w:val="24"/>
        </w:rPr>
        <w:t xml:space="preserve">Progress of discussion during </w:t>
      </w:r>
      <w:r w:rsidR="003346ED" w:rsidRPr="00217FDA">
        <w:rPr>
          <w:rFonts w:ascii="Times New Roman" w:hAnsi="Times New Roman" w:cs="Times New Roman"/>
          <w:sz w:val="24"/>
          <w:szCs w:val="24"/>
        </w:rPr>
        <w:t>WRC-</w:t>
      </w:r>
      <w:r w:rsidR="00550E88" w:rsidRPr="00217FDA">
        <w:rPr>
          <w:rFonts w:ascii="Times New Roman" w:hAnsi="Times New Roman" w:cs="Times New Roman"/>
          <w:sz w:val="24"/>
          <w:szCs w:val="24"/>
        </w:rPr>
        <w:t>23</w:t>
      </w:r>
      <w:r w:rsidR="003346ED" w:rsidRPr="00217FDA">
        <w:rPr>
          <w:rFonts w:ascii="Times New Roman" w:hAnsi="Times New Roman" w:cs="Times New Roman"/>
          <w:sz w:val="24"/>
          <w:szCs w:val="24"/>
        </w:rPr>
        <w:t xml:space="preserve"> </w:t>
      </w:r>
      <w:r w:rsidR="00D1517A" w:rsidRPr="00217FDA">
        <w:rPr>
          <w:rFonts w:ascii="Times New Roman" w:hAnsi="Times New Roman" w:cs="Times New Roman"/>
          <w:sz w:val="24"/>
          <w:szCs w:val="24"/>
        </w:rPr>
        <w:t>on the Agenda Item</w:t>
      </w:r>
    </w:p>
    <w:p w14:paraId="1813D2FF" w14:textId="793C1BDA" w:rsidR="00AD63ED" w:rsidRDefault="00AD63ED" w:rsidP="00AD63ED">
      <w:pPr>
        <w:pStyle w:val="ListParagraph"/>
        <w:spacing w:line="256" w:lineRule="auto"/>
        <w:ind w:leftChars="0"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several opened issues including the followings:</w:t>
      </w:r>
    </w:p>
    <w:p w14:paraId="120560AA" w14:textId="6F8F6828" w:rsidR="00AD63ED" w:rsidRDefault="00AD63ED" w:rsidP="00AD63ED">
      <w:pPr>
        <w:pStyle w:val="ListParagraph"/>
        <w:numPr>
          <w:ilvl w:val="0"/>
          <w:numId w:val="12"/>
        </w:numPr>
        <w:spacing w:line="256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GSO only or both GSO and non GSO</w:t>
      </w:r>
    </w:p>
    <w:p w14:paraId="6B9BB041" w14:textId="068E8E8D" w:rsidR="00AD63ED" w:rsidRDefault="00AD63ED" w:rsidP="00AD63ED">
      <w:pPr>
        <w:pStyle w:val="ListParagraph"/>
        <w:numPr>
          <w:ilvl w:val="0"/>
          <w:numId w:val="12"/>
        </w:numPr>
        <w:spacing w:line="256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Discussions on the necessity of several provision that seeks ensuring the protection of AP30A  </w:t>
      </w:r>
    </w:p>
    <w:p w14:paraId="2158996E" w14:textId="7F2F72EF" w:rsidR="00283184" w:rsidRPr="00A76363" w:rsidRDefault="008742F3" w:rsidP="00283184">
      <w:pPr>
        <w:pStyle w:val="ListParagraph"/>
        <w:numPr>
          <w:ilvl w:val="0"/>
          <w:numId w:val="8"/>
        </w:numPr>
        <w:spacing w:line="256" w:lineRule="auto"/>
        <w:ind w:leftChars="0"/>
      </w:pPr>
      <w:r w:rsidRPr="00AC461C">
        <w:rPr>
          <w:rFonts w:ascii="Times New Roman" w:hAnsi="Times New Roman" w:cs="Times New Roman"/>
          <w:sz w:val="24"/>
          <w:szCs w:val="24"/>
        </w:rPr>
        <w:t xml:space="preserve">Issues </w:t>
      </w:r>
      <w:r w:rsidR="000B5983" w:rsidRPr="00AC461C">
        <w:rPr>
          <w:rFonts w:ascii="Times New Roman" w:hAnsi="Times New Roman" w:cs="Times New Roman"/>
          <w:sz w:val="24"/>
          <w:szCs w:val="24"/>
        </w:rPr>
        <w:t xml:space="preserve">which </w:t>
      </w:r>
      <w:r w:rsidRPr="00AC461C">
        <w:rPr>
          <w:rFonts w:ascii="Times New Roman" w:hAnsi="Times New Roman" w:cs="Times New Roman"/>
          <w:sz w:val="24"/>
          <w:szCs w:val="24"/>
        </w:rPr>
        <w:t xml:space="preserve">require </w:t>
      </w:r>
      <w:r w:rsidR="00D1517A" w:rsidRPr="00AC461C">
        <w:rPr>
          <w:rFonts w:ascii="Times New Roman" w:hAnsi="Times New Roman" w:cs="Times New Roman"/>
          <w:sz w:val="24"/>
          <w:szCs w:val="24"/>
        </w:rPr>
        <w:t>discussion at</w:t>
      </w:r>
      <w:r w:rsidRPr="00AC461C">
        <w:rPr>
          <w:rFonts w:ascii="Times New Roman" w:hAnsi="Times New Roman" w:cs="Times New Roman"/>
          <w:sz w:val="24"/>
          <w:szCs w:val="24"/>
        </w:rPr>
        <w:t xml:space="preserve"> AP</w:t>
      </w:r>
      <w:r w:rsidR="003346ED">
        <w:rPr>
          <w:rFonts w:ascii="Times New Roman" w:hAnsi="Times New Roman" w:cs="Times New Roman"/>
          <w:sz w:val="24"/>
          <w:szCs w:val="24"/>
        </w:rPr>
        <w:t>T</w:t>
      </w:r>
      <w:r w:rsidRPr="00AC461C">
        <w:rPr>
          <w:rFonts w:ascii="Times New Roman" w:hAnsi="Times New Roman" w:cs="Times New Roman"/>
          <w:sz w:val="24"/>
          <w:szCs w:val="24"/>
        </w:rPr>
        <w:t xml:space="preserve"> Coordination </w:t>
      </w:r>
      <w:r w:rsidR="003346ED">
        <w:rPr>
          <w:rFonts w:ascii="Times New Roman" w:hAnsi="Times New Roman" w:cs="Times New Roman"/>
          <w:sz w:val="24"/>
          <w:szCs w:val="24"/>
        </w:rPr>
        <w:t>M</w:t>
      </w:r>
      <w:r w:rsidRPr="00AC461C">
        <w:rPr>
          <w:rFonts w:ascii="Times New Roman" w:hAnsi="Times New Roman" w:cs="Times New Roman"/>
          <w:sz w:val="24"/>
          <w:szCs w:val="24"/>
        </w:rPr>
        <w:t>eeting</w:t>
      </w:r>
      <w:r w:rsidR="003346ED">
        <w:rPr>
          <w:rFonts w:ascii="Times New Roman" w:hAnsi="Times New Roman" w:cs="Times New Roman"/>
          <w:sz w:val="24"/>
          <w:szCs w:val="24"/>
        </w:rPr>
        <w:t>s</w:t>
      </w:r>
      <w:r w:rsidR="00D1517A" w:rsidRPr="00AC461C">
        <w:rPr>
          <w:rFonts w:ascii="Times New Roman" w:hAnsi="Times New Roman" w:cs="Times New Roman"/>
          <w:sz w:val="24"/>
          <w:szCs w:val="24"/>
        </w:rPr>
        <w:t xml:space="preserve"> and seek guidance thereafter</w:t>
      </w:r>
      <w:r w:rsidR="00B71D83">
        <w:rPr>
          <w:rFonts w:ascii="Times New Roman" w:hAnsi="Times New Roman" w:cs="Times New Roman"/>
          <w:sz w:val="24"/>
          <w:szCs w:val="24"/>
        </w:rPr>
        <w:t>.</w:t>
      </w:r>
    </w:p>
    <w:p w14:paraId="1836FF2E" w14:textId="77777777" w:rsidR="00112B8B" w:rsidRDefault="00112B8B" w:rsidP="00AD63ED">
      <w:pPr>
        <w:spacing w:line="25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2B8B">
        <w:rPr>
          <w:rFonts w:ascii="Times New Roman" w:hAnsi="Times New Roman" w:cs="Times New Roman"/>
          <w:sz w:val="24"/>
          <w:szCs w:val="24"/>
        </w:rPr>
        <w:t xml:space="preserve">The highlighted green phrases are </w:t>
      </w:r>
      <w:r>
        <w:rPr>
          <w:rFonts w:ascii="Times New Roman" w:hAnsi="Times New Roman" w:cs="Times New Roman"/>
          <w:sz w:val="24"/>
          <w:szCs w:val="24"/>
        </w:rPr>
        <w:t>the elements</w:t>
      </w:r>
      <w:r w:rsidRPr="00112B8B">
        <w:rPr>
          <w:rFonts w:ascii="Times New Roman" w:hAnsi="Times New Roman" w:cs="Times New Roman"/>
          <w:sz w:val="24"/>
          <w:szCs w:val="24"/>
        </w:rPr>
        <w:t xml:space="preserve"> in the ACP.</w:t>
      </w:r>
    </w:p>
    <w:p w14:paraId="5A59460A" w14:textId="10E83BF0" w:rsidR="00A76363" w:rsidRDefault="00112B8B" w:rsidP="00AD63ED">
      <w:pPr>
        <w:spacing w:line="25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2B8B">
        <w:rPr>
          <w:rFonts w:ascii="Times New Roman" w:hAnsi="Times New Roman" w:cs="Times New Roman"/>
          <w:sz w:val="24"/>
          <w:szCs w:val="24"/>
        </w:rPr>
        <w:t>There is a proposal to remove the phrase "operating and those to be operated." Therefore, I would like to request the guidance of APT on whether to retain the text or accept the deletion.</w:t>
      </w:r>
    </w:p>
    <w:p w14:paraId="5353AE48" w14:textId="77777777" w:rsidR="00AD63ED" w:rsidRPr="00AD63ED" w:rsidRDefault="00AD63ED" w:rsidP="00AD63ED">
      <w:pPr>
        <w:keepNext/>
        <w:widowControl/>
        <w:tabs>
          <w:tab w:val="left" w:pos="1134"/>
          <w:tab w:val="left" w:pos="1871"/>
          <w:tab w:val="left" w:pos="2268"/>
        </w:tabs>
        <w:wordWrap/>
        <w:overflowPunct w:val="0"/>
        <w:adjustRightInd w:val="0"/>
        <w:spacing w:before="240" w:after="0" w:line="240" w:lineRule="auto"/>
        <w:jc w:val="left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US"/>
        </w:rPr>
      </w:pPr>
      <w:r w:rsidRPr="00AD63E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US"/>
        </w:rPr>
        <w:t>MOD</w:t>
      </w:r>
    </w:p>
    <w:p w14:paraId="4C51CF94" w14:textId="52B40257" w:rsidR="00AD63ED" w:rsidRPr="00AD63ED" w:rsidRDefault="00AD63ED" w:rsidP="00AD63ED">
      <w:pPr>
        <w:widowControl/>
        <w:wordWrap/>
        <w:autoSpaceDE/>
        <w:autoSpaceDN/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AD63E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/>
        </w:rPr>
        <w:t>5.516A</w:t>
      </w:r>
      <w:r w:rsidRPr="00AD63ED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In the frequency band 17.3-17.7 GHz, the use of the fixed-satellite service (space-to-Earth) in Regions 1 and 2 shall not cause </w:t>
      </w:r>
      <w:r w:rsidRPr="00AD63ED">
        <w:rPr>
          <w:rFonts w:ascii="Times New Roman" w:eastAsia="Calibri" w:hAnsi="Times New Roman" w:cs="Times New Roman"/>
          <w:kern w:val="0"/>
          <w:sz w:val="24"/>
          <w:szCs w:val="24"/>
          <w:highlight w:val="yellow"/>
          <w:lang w:eastAsia="en-US"/>
        </w:rPr>
        <w:t>[</w:t>
      </w:r>
      <w:r w:rsidRPr="00AD63ED">
        <w:rPr>
          <w:rFonts w:ascii="Times New Roman" w:eastAsia="Calibri" w:hAnsi="Times New Roman" w:cs="Times New Roman"/>
          <w:kern w:val="0"/>
          <w:sz w:val="24"/>
          <w:szCs w:val="24"/>
          <w:highlight w:val="green"/>
          <w:lang w:eastAsia="en-US"/>
        </w:rPr>
        <w:t>unacceptable</w:t>
      </w:r>
      <w:r w:rsidRPr="00AD63ED">
        <w:rPr>
          <w:rFonts w:ascii="Times New Roman" w:eastAsia="Calibri" w:hAnsi="Times New Roman" w:cs="Times New Roman"/>
          <w:kern w:val="0"/>
          <w:sz w:val="24"/>
          <w:szCs w:val="24"/>
          <w:highlight w:val="yellow"/>
          <w:lang w:eastAsia="en-US"/>
        </w:rPr>
        <w:t>/harmful]</w:t>
      </w:r>
      <w:r w:rsidRPr="00AD63ED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interference to space station receiver nor claim protection from the broadcasting-satellite service feeder-link earth stations [</w:t>
      </w:r>
      <w:r w:rsidRPr="00B3579E">
        <w:rPr>
          <w:rFonts w:ascii="Times New Roman" w:eastAsia="Calibri" w:hAnsi="Times New Roman" w:cs="Times New Roman"/>
          <w:strike/>
          <w:kern w:val="0"/>
          <w:sz w:val="24"/>
          <w:szCs w:val="24"/>
          <w:highlight w:val="green"/>
          <w:lang w:eastAsia="en-US"/>
        </w:rPr>
        <w:t>operating and those to be operated in the future</w:t>
      </w:r>
      <w:r w:rsidRPr="00AD63ED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] under Appendix 30A in all three Regions, nor put any limitations or restrictions on the locations of the broadcasting-satellite service feeder-link earth stations anywhere within the service area of the feeder link. Upon receipt of a report of </w:t>
      </w:r>
      <w:r w:rsidRPr="00AD63ED">
        <w:rPr>
          <w:rFonts w:ascii="Times New Roman" w:eastAsia="Calibri" w:hAnsi="Times New Roman" w:cs="Times New Roman"/>
          <w:kern w:val="0"/>
          <w:sz w:val="24"/>
          <w:szCs w:val="24"/>
          <w:highlight w:val="yellow"/>
          <w:lang w:eastAsia="en-US"/>
        </w:rPr>
        <w:t>[harmful/</w:t>
      </w:r>
      <w:r w:rsidRPr="00AD63ED">
        <w:rPr>
          <w:rFonts w:ascii="Times New Roman" w:eastAsia="Calibri" w:hAnsi="Times New Roman" w:cs="Times New Roman"/>
          <w:kern w:val="0"/>
          <w:sz w:val="24"/>
          <w:szCs w:val="24"/>
          <w:highlight w:val="green"/>
          <w:lang w:eastAsia="en-US"/>
        </w:rPr>
        <w:t>unacceptable</w:t>
      </w:r>
      <w:r w:rsidRPr="00AD63ED">
        <w:rPr>
          <w:rFonts w:ascii="Times New Roman" w:eastAsia="Calibri" w:hAnsi="Times New Roman" w:cs="Times New Roman"/>
          <w:kern w:val="0"/>
          <w:sz w:val="24"/>
          <w:szCs w:val="24"/>
          <w:highlight w:val="yellow"/>
          <w:lang w:eastAsia="en-US"/>
        </w:rPr>
        <w:t>]</w:t>
      </w:r>
      <w:r w:rsidRPr="00AD63ED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interference, the notifying administration of the fixed-satellite service (space-to-Earth) shall </w:t>
      </w:r>
      <w:r w:rsidRPr="00AD63ED">
        <w:rPr>
          <w:rFonts w:ascii="Times New Roman" w:eastAsia="Calibri" w:hAnsi="Times New Roman" w:cs="Times New Roman"/>
          <w:kern w:val="0"/>
          <w:sz w:val="24"/>
          <w:szCs w:val="24"/>
          <w:highlight w:val="yellow"/>
          <w:lang w:eastAsia="en-US"/>
        </w:rPr>
        <w:t>[</w:t>
      </w:r>
      <w:r w:rsidRPr="00AD63ED">
        <w:rPr>
          <w:rFonts w:ascii="Times New Roman" w:eastAsia="Calibri" w:hAnsi="Times New Roman" w:cs="Times New Roman"/>
          <w:kern w:val="0"/>
          <w:sz w:val="24"/>
          <w:szCs w:val="24"/>
          <w:highlight w:val="green"/>
          <w:lang w:eastAsia="en-US"/>
        </w:rPr>
        <w:t>immediately</w:t>
      </w:r>
      <w:r w:rsidRPr="00AD63ED">
        <w:rPr>
          <w:rFonts w:ascii="Times New Roman" w:eastAsia="Calibri" w:hAnsi="Times New Roman" w:cs="Times New Roman"/>
          <w:kern w:val="0"/>
          <w:sz w:val="24"/>
          <w:szCs w:val="24"/>
          <w:highlight w:val="yellow"/>
          <w:lang w:eastAsia="en-US"/>
        </w:rPr>
        <w:t>/as soon as practicable]</w:t>
      </w:r>
      <w:r w:rsidRPr="00AD63ED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eliminate or reduce </w:t>
      </w:r>
      <w:r w:rsidRPr="00AD63ED">
        <w:rPr>
          <w:rFonts w:ascii="Times New Roman" w:eastAsia="Calibri" w:hAnsi="Times New Roman" w:cs="Times New Roman"/>
          <w:kern w:val="0"/>
          <w:sz w:val="24"/>
          <w:szCs w:val="24"/>
          <w:highlight w:val="yellow"/>
          <w:lang w:eastAsia="en-US"/>
        </w:rPr>
        <w:t>[harmful/</w:t>
      </w:r>
      <w:r w:rsidRPr="00AD63ED">
        <w:rPr>
          <w:rFonts w:ascii="Times New Roman" w:eastAsia="Calibri" w:hAnsi="Times New Roman" w:cs="Times New Roman"/>
          <w:kern w:val="0"/>
          <w:sz w:val="24"/>
          <w:szCs w:val="24"/>
          <w:highlight w:val="green"/>
          <w:lang w:eastAsia="en-US"/>
        </w:rPr>
        <w:t>unacceptable</w:t>
      </w:r>
      <w:r w:rsidRPr="00AD63ED">
        <w:rPr>
          <w:rFonts w:ascii="Times New Roman" w:eastAsia="Calibri" w:hAnsi="Times New Roman" w:cs="Times New Roman"/>
          <w:kern w:val="0"/>
          <w:sz w:val="24"/>
          <w:szCs w:val="24"/>
          <w:highlight w:val="yellow"/>
          <w:lang w:eastAsia="en-US"/>
        </w:rPr>
        <w:t>]</w:t>
      </w:r>
      <w:r w:rsidRPr="00AD63ED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interference to an acceptable level.</w:t>
      </w:r>
    </w:p>
    <w:p w14:paraId="79954F48" w14:textId="77777777" w:rsidR="00AD63ED" w:rsidRPr="00AD63ED" w:rsidRDefault="00AD63ED" w:rsidP="00AD63ED">
      <w:pPr>
        <w:widowControl/>
        <w:wordWrap/>
        <w:autoSpaceDE/>
        <w:autoSpaceDN/>
        <w:jc w:val="left"/>
        <w:rPr>
          <w:rFonts w:ascii="Calibri" w:eastAsia="Calibri" w:hAnsi="Calibri" w:cs="Arial"/>
          <w:kern w:val="0"/>
          <w:sz w:val="22"/>
          <w:lang w:eastAsia="en-US"/>
        </w:rPr>
      </w:pPr>
    </w:p>
    <w:p w14:paraId="700F7A49" w14:textId="77777777" w:rsidR="00AD63ED" w:rsidRPr="00AD63ED" w:rsidRDefault="00AD63ED" w:rsidP="00AD63ED">
      <w:pPr>
        <w:widowControl/>
        <w:wordWrap/>
        <w:autoSpaceDE/>
        <w:autoSpaceDN/>
        <w:jc w:val="left"/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green"/>
          <w:lang w:eastAsia="en-US"/>
        </w:rPr>
      </w:pPr>
      <w:r w:rsidRPr="00AD63ED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green"/>
          <w:lang w:eastAsia="en-US"/>
        </w:rPr>
        <w:t>[ADD</w:t>
      </w:r>
    </w:p>
    <w:p w14:paraId="3B28A9C2" w14:textId="1CD3298C" w:rsidR="00AD63ED" w:rsidRPr="00B3579E" w:rsidRDefault="00AD63ED" w:rsidP="00AD63ED">
      <w:pPr>
        <w:spacing w:line="25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3579E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green"/>
          <w:u w:val="single"/>
          <w:lang w:eastAsia="en-US"/>
        </w:rPr>
        <w:t>5.516Cis</w:t>
      </w:r>
      <w:r w:rsidRPr="00B3579E">
        <w:rPr>
          <w:rFonts w:ascii="Times New Roman" w:eastAsia="Calibri" w:hAnsi="Times New Roman" w:cs="Times New Roman"/>
          <w:kern w:val="0"/>
          <w:sz w:val="24"/>
          <w:szCs w:val="24"/>
          <w:highlight w:val="green"/>
          <w:u w:val="single"/>
          <w:lang w:eastAsia="en-US"/>
        </w:rPr>
        <w:t xml:space="preserve"> In order to implement the commitment with regard to fixed-satellite servic</w:t>
      </w:r>
      <w:r w:rsidRPr="00B3579E">
        <w:rPr>
          <w:rFonts w:ascii="Times New Roman" w:eastAsia="Calibri" w:hAnsi="Times New Roman" w:cs="Times New Roman"/>
          <w:kern w:val="0"/>
          <w:sz w:val="24"/>
          <w:szCs w:val="24"/>
          <w:highlight w:val="green"/>
          <w:u w:val="single"/>
          <w:lang w:eastAsia="en-US"/>
        </w:rPr>
        <w:lastRenderedPageBreak/>
        <w:t>e allocation in Region 2, the notifying administration of the fixed-satellite service at the time of notification under Article 11 of the Radio Regulations, submitting Appendix 4 information to ITU shall also provide a firm commitment that in the case of unacceptable interference it shall undertake to immediately cease emission or reduce the interference to an acceptable level and that the fixed-satellite service system is capable of making this commitment immediately.]</w:t>
      </w:r>
    </w:p>
    <w:sectPr w:rsidR="00AD63ED" w:rsidRPr="00B3579E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7619F" w14:textId="77777777" w:rsidR="00CF47B0" w:rsidRDefault="00CF47B0" w:rsidP="00D1517A">
      <w:pPr>
        <w:spacing w:after="0" w:line="240" w:lineRule="auto"/>
      </w:pPr>
      <w:r>
        <w:separator/>
      </w:r>
    </w:p>
  </w:endnote>
  <w:endnote w:type="continuationSeparator" w:id="0">
    <w:p w14:paraId="4C67D5EB" w14:textId="77777777" w:rsidR="00CF47B0" w:rsidRDefault="00CF47B0" w:rsidP="00D1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F2A94" w14:textId="77777777" w:rsidR="00CF47B0" w:rsidRDefault="00CF47B0" w:rsidP="00D1517A">
      <w:pPr>
        <w:spacing w:after="0" w:line="240" w:lineRule="auto"/>
      </w:pPr>
      <w:r>
        <w:separator/>
      </w:r>
    </w:p>
  </w:footnote>
  <w:footnote w:type="continuationSeparator" w:id="0">
    <w:p w14:paraId="5D17E80E" w14:textId="77777777" w:rsidR="00CF47B0" w:rsidRDefault="00CF47B0" w:rsidP="00D1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F7932"/>
    <w:multiLevelType w:val="hybridMultilevel"/>
    <w:tmpl w:val="773EEF0C"/>
    <w:lvl w:ilvl="0" w:tplc="4FCE00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0194C"/>
    <w:multiLevelType w:val="hybridMultilevel"/>
    <w:tmpl w:val="302683AC"/>
    <w:lvl w:ilvl="0" w:tplc="F2EAB2F4">
      <w:start w:val="1"/>
      <w:numFmt w:val="lowerLetter"/>
      <w:lvlText w:val="%1)"/>
      <w:lvlJc w:val="left"/>
      <w:rPr>
        <w:rFonts w:hint="default"/>
        <w:b/>
        <w:bCs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ABD21BF"/>
    <w:multiLevelType w:val="hybridMultilevel"/>
    <w:tmpl w:val="2C30A42C"/>
    <w:lvl w:ilvl="0" w:tplc="C26C1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47C4C"/>
    <w:multiLevelType w:val="hybridMultilevel"/>
    <w:tmpl w:val="9B582A34"/>
    <w:lvl w:ilvl="0" w:tplc="04090017">
      <w:start w:val="1"/>
      <w:numFmt w:val="lowerLetter"/>
      <w:lvlText w:val="%1)"/>
      <w:lvlJc w:val="left"/>
      <w:pPr>
        <w:ind w:left="0" w:firstLine="0"/>
      </w:pPr>
    </w:lvl>
    <w:lvl w:ilvl="1" w:tplc="945ADFFA">
      <w:start w:val="1"/>
      <w:numFmt w:val="bullet"/>
      <w:lvlText w:val="-"/>
      <w:lvlJc w:val="left"/>
      <w:pPr>
        <w:ind w:left="1530" w:hanging="360"/>
      </w:pPr>
      <w:rPr>
        <w:rFonts w:ascii="Calibri" w:hAnsi="Calibri" w:cs="Times New Roman" w:hint="default"/>
      </w:rPr>
    </w:lvl>
    <w:lvl w:ilvl="2" w:tplc="08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D3561DB"/>
    <w:multiLevelType w:val="hybridMultilevel"/>
    <w:tmpl w:val="DB12D17E"/>
    <w:lvl w:ilvl="0" w:tplc="FFFFFFFF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9457B49"/>
    <w:multiLevelType w:val="hybridMultilevel"/>
    <w:tmpl w:val="DB12D17E"/>
    <w:lvl w:ilvl="0" w:tplc="04090017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63613E05"/>
    <w:multiLevelType w:val="hybridMultilevel"/>
    <w:tmpl w:val="18A86E38"/>
    <w:lvl w:ilvl="0" w:tplc="04090017">
      <w:start w:val="1"/>
      <w:numFmt w:val="lowerLetter"/>
      <w:lvlText w:val="%1)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46A05F6"/>
    <w:multiLevelType w:val="hybridMultilevel"/>
    <w:tmpl w:val="35349184"/>
    <w:lvl w:ilvl="0" w:tplc="04090005">
      <w:start w:val="1"/>
      <w:numFmt w:val="bullet"/>
      <w:lvlText w:val="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63317"/>
    <w:multiLevelType w:val="hybridMultilevel"/>
    <w:tmpl w:val="A90EEA20"/>
    <w:lvl w:ilvl="0" w:tplc="6608CDAC">
      <w:start w:val="1"/>
      <w:numFmt w:val="lowerLetter"/>
      <w:lvlText w:val="%1)"/>
      <w:lvlJc w:val="left"/>
      <w:rPr>
        <w:rFonts w:hint="default"/>
        <w:b w:val="0"/>
        <w:bCs w:val="0"/>
        <w:strike w:val="0"/>
      </w:rPr>
    </w:lvl>
    <w:lvl w:ilvl="1" w:tplc="FFFFFFFF" w:tentative="1">
      <w:start w:val="1"/>
      <w:numFmt w:val="upperLetter"/>
      <w:lvlText w:val="%2."/>
      <w:lvlJc w:val="left"/>
      <w:pPr>
        <w:ind w:left="2640" w:hanging="400"/>
      </w:pPr>
    </w:lvl>
    <w:lvl w:ilvl="2" w:tplc="FFFFFFFF" w:tentative="1">
      <w:start w:val="1"/>
      <w:numFmt w:val="lowerRoman"/>
      <w:lvlText w:val="%3."/>
      <w:lvlJc w:val="right"/>
      <w:pPr>
        <w:ind w:left="3040" w:hanging="400"/>
      </w:pPr>
    </w:lvl>
    <w:lvl w:ilvl="3" w:tplc="FFFFFFFF" w:tentative="1">
      <w:start w:val="1"/>
      <w:numFmt w:val="decimal"/>
      <w:lvlText w:val="%4."/>
      <w:lvlJc w:val="left"/>
      <w:pPr>
        <w:ind w:left="3440" w:hanging="400"/>
      </w:pPr>
    </w:lvl>
    <w:lvl w:ilvl="4" w:tplc="FFFFFFFF" w:tentative="1">
      <w:start w:val="1"/>
      <w:numFmt w:val="upperLetter"/>
      <w:lvlText w:val="%5."/>
      <w:lvlJc w:val="left"/>
      <w:pPr>
        <w:ind w:left="3840" w:hanging="400"/>
      </w:pPr>
    </w:lvl>
    <w:lvl w:ilvl="5" w:tplc="FFFFFFFF" w:tentative="1">
      <w:start w:val="1"/>
      <w:numFmt w:val="lowerRoman"/>
      <w:lvlText w:val="%6."/>
      <w:lvlJc w:val="right"/>
      <w:pPr>
        <w:ind w:left="4240" w:hanging="400"/>
      </w:pPr>
    </w:lvl>
    <w:lvl w:ilvl="6" w:tplc="FFFFFFFF" w:tentative="1">
      <w:start w:val="1"/>
      <w:numFmt w:val="decimal"/>
      <w:lvlText w:val="%7."/>
      <w:lvlJc w:val="left"/>
      <w:pPr>
        <w:ind w:left="4640" w:hanging="400"/>
      </w:pPr>
    </w:lvl>
    <w:lvl w:ilvl="7" w:tplc="FFFFFFFF" w:tentative="1">
      <w:start w:val="1"/>
      <w:numFmt w:val="upperLetter"/>
      <w:lvlText w:val="%8."/>
      <w:lvlJc w:val="left"/>
      <w:pPr>
        <w:ind w:left="5040" w:hanging="400"/>
      </w:pPr>
    </w:lvl>
    <w:lvl w:ilvl="8" w:tplc="FFFFFFFF" w:tentative="1">
      <w:start w:val="1"/>
      <w:numFmt w:val="lowerRoman"/>
      <w:lvlText w:val="%9."/>
      <w:lvlJc w:val="right"/>
      <w:pPr>
        <w:ind w:left="5440" w:hanging="400"/>
      </w:pPr>
    </w:lvl>
  </w:abstractNum>
  <w:abstractNum w:abstractNumId="9" w15:restartNumberingAfterBreak="0">
    <w:nsid w:val="77A007BE"/>
    <w:multiLevelType w:val="hybridMultilevel"/>
    <w:tmpl w:val="9392D4B2"/>
    <w:lvl w:ilvl="0" w:tplc="DABE64CE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7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4"/>
    <w:rsid w:val="00046330"/>
    <w:rsid w:val="00086F2C"/>
    <w:rsid w:val="000B5983"/>
    <w:rsid w:val="00112B8B"/>
    <w:rsid w:val="001605F3"/>
    <w:rsid w:val="001A1F17"/>
    <w:rsid w:val="001E0789"/>
    <w:rsid w:val="00217FDA"/>
    <w:rsid w:val="002248D4"/>
    <w:rsid w:val="0024106C"/>
    <w:rsid w:val="00283184"/>
    <w:rsid w:val="00283D24"/>
    <w:rsid w:val="00286B97"/>
    <w:rsid w:val="003346ED"/>
    <w:rsid w:val="00366956"/>
    <w:rsid w:val="00394D8D"/>
    <w:rsid w:val="003E02AE"/>
    <w:rsid w:val="004A3E94"/>
    <w:rsid w:val="004A574B"/>
    <w:rsid w:val="004D7CC0"/>
    <w:rsid w:val="00550E88"/>
    <w:rsid w:val="005755E6"/>
    <w:rsid w:val="005C6572"/>
    <w:rsid w:val="00611DDA"/>
    <w:rsid w:val="006569A1"/>
    <w:rsid w:val="00672CC4"/>
    <w:rsid w:val="0067372E"/>
    <w:rsid w:val="00677357"/>
    <w:rsid w:val="00683E04"/>
    <w:rsid w:val="007A3642"/>
    <w:rsid w:val="008742F3"/>
    <w:rsid w:val="008D0D25"/>
    <w:rsid w:val="009444B7"/>
    <w:rsid w:val="009A6A7F"/>
    <w:rsid w:val="009E10FA"/>
    <w:rsid w:val="009E27EC"/>
    <w:rsid w:val="00A76363"/>
    <w:rsid w:val="00AC461C"/>
    <w:rsid w:val="00AC506F"/>
    <w:rsid w:val="00AD63ED"/>
    <w:rsid w:val="00AE08E2"/>
    <w:rsid w:val="00AF4FDD"/>
    <w:rsid w:val="00B245C2"/>
    <w:rsid w:val="00B348D1"/>
    <w:rsid w:val="00B3579E"/>
    <w:rsid w:val="00B71D83"/>
    <w:rsid w:val="00BB1D78"/>
    <w:rsid w:val="00C750CB"/>
    <w:rsid w:val="00C82B13"/>
    <w:rsid w:val="00CB57F5"/>
    <w:rsid w:val="00CF47B0"/>
    <w:rsid w:val="00D059B6"/>
    <w:rsid w:val="00D1517A"/>
    <w:rsid w:val="00DF75EF"/>
    <w:rsid w:val="00EA1B34"/>
    <w:rsid w:val="00EC68D5"/>
    <w:rsid w:val="00EF7969"/>
    <w:rsid w:val="00F341CC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B34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17A"/>
  </w:style>
  <w:style w:type="paragraph" w:styleId="Footer">
    <w:name w:val="footer"/>
    <w:basedOn w:val="Normal"/>
    <w:link w:val="Foot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17A"/>
  </w:style>
  <w:style w:type="character" w:styleId="Hyperlink">
    <w:name w:val="Hyperlink"/>
    <w:basedOn w:val="DefaultParagraphFont"/>
    <w:uiPriority w:val="99"/>
    <w:semiHidden/>
    <w:unhideWhenUsed/>
    <w:rsid w:val="00217F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t.int/sites/default/files/Upload-files/APG-23/R23-WRC23-C-0062A19MSW-E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za.naderi.j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TTA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Reza Naderi</cp:lastModifiedBy>
  <cp:revision>28</cp:revision>
  <dcterms:created xsi:type="dcterms:W3CDTF">2023-10-27T03:00:00Z</dcterms:created>
  <dcterms:modified xsi:type="dcterms:W3CDTF">2023-12-05T07:12:00Z</dcterms:modified>
</cp:coreProperties>
</file>