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9C94" w14:textId="7F16CA01" w:rsidR="004C73AD" w:rsidRPr="00892FCF" w:rsidRDefault="005C1465" w:rsidP="001C5D10">
      <w:r w:rsidRPr="00892FCF">
        <w:t>1.XX</w:t>
      </w:r>
      <w:r w:rsidRPr="00892FCF">
        <w:tab/>
        <w:t xml:space="preserve"> to consider and develop regulatory provisions and methods to ensure fair, equitable access and rational use of non-geostationary</w:t>
      </w:r>
      <w:r w:rsidR="00AB1EB1" w:rsidRPr="00892FCF">
        <w:t xml:space="preserve"> (non-GSO)</w:t>
      </w:r>
      <w:r w:rsidRPr="00892FCF">
        <w:t xml:space="preserve"> radio-frequency spectrum and </w:t>
      </w:r>
      <w:r w:rsidR="00AB1EB1" w:rsidRPr="00892FCF">
        <w:t>associated orbits resources</w:t>
      </w:r>
    </w:p>
    <w:p w14:paraId="3D68E250" w14:textId="2810E15B" w:rsidR="002B45FA" w:rsidRPr="00892FCF" w:rsidRDefault="002B45FA" w:rsidP="001C5D10">
      <w:pPr>
        <w:pStyle w:val="ResNo"/>
      </w:pPr>
      <w:r w:rsidRPr="00892FCF">
        <w:t>Draft New Resolution [NGSO FSS</w:t>
      </w:r>
      <w:r w:rsidR="00AF7715">
        <w:t>[</w:t>
      </w:r>
      <w:r w:rsidR="00DD001F" w:rsidRPr="00892FCF">
        <w:t>, BSS and MSS</w:t>
      </w:r>
      <w:r w:rsidR="00AF7715">
        <w:t>]</w:t>
      </w:r>
      <w:r w:rsidRPr="00892FCF">
        <w:t xml:space="preserve"> </w:t>
      </w:r>
      <w:r w:rsidR="00FA5272">
        <w:t>Regulative framework</w:t>
      </w:r>
      <w:r w:rsidRPr="00892FCF">
        <w:t>] (WRC-23)</w:t>
      </w:r>
    </w:p>
    <w:p w14:paraId="66BFDE20" w14:textId="76EFFD63" w:rsidR="00675FB7" w:rsidRPr="001C5D10" w:rsidRDefault="00CB626F" w:rsidP="001C5D10">
      <w:pPr>
        <w:pStyle w:val="Normalaftertitle"/>
        <w:jc w:val="center"/>
        <w:rPr>
          <w:b/>
          <w:bCs/>
          <w:sz w:val="28"/>
          <w:szCs w:val="28"/>
        </w:rPr>
      </w:pPr>
      <w:r>
        <w:rPr>
          <w:b/>
          <w:bCs/>
          <w:sz w:val="28"/>
          <w:szCs w:val="28"/>
        </w:rPr>
        <w:t>A</w:t>
      </w:r>
      <w:r w:rsidR="00FA5272">
        <w:rPr>
          <w:b/>
          <w:bCs/>
          <w:sz w:val="28"/>
          <w:szCs w:val="28"/>
        </w:rPr>
        <w:t>n</w:t>
      </w:r>
      <w:r>
        <w:rPr>
          <w:b/>
          <w:bCs/>
          <w:sz w:val="28"/>
          <w:szCs w:val="28"/>
        </w:rPr>
        <w:t xml:space="preserve"> </w:t>
      </w:r>
      <w:r w:rsidR="002B45FA" w:rsidRPr="00FA5272">
        <w:rPr>
          <w:b/>
          <w:bCs/>
          <w:sz w:val="28"/>
          <w:szCs w:val="28"/>
        </w:rPr>
        <w:t xml:space="preserve">Studies to develop </w:t>
      </w:r>
      <w:bookmarkStart w:id="0" w:name="_Hlk150336409"/>
      <w:r w:rsidR="002B45FA" w:rsidRPr="00FA5272">
        <w:rPr>
          <w:b/>
          <w:bCs/>
          <w:sz w:val="28"/>
          <w:szCs w:val="28"/>
        </w:rPr>
        <w:t xml:space="preserve">regulatory </w:t>
      </w:r>
      <w:r w:rsidR="004C73AD" w:rsidRPr="00FA5272">
        <w:rPr>
          <w:b/>
          <w:bCs/>
          <w:sz w:val="28"/>
          <w:szCs w:val="28"/>
        </w:rPr>
        <w:t xml:space="preserve">provisions </w:t>
      </w:r>
      <w:r w:rsidR="002B45FA" w:rsidRPr="00FA5272">
        <w:rPr>
          <w:b/>
          <w:bCs/>
          <w:sz w:val="28"/>
          <w:szCs w:val="28"/>
        </w:rPr>
        <w:t>and technical</w:t>
      </w:r>
      <w:r w:rsidR="004C73AD" w:rsidRPr="00FA5272">
        <w:rPr>
          <w:b/>
          <w:bCs/>
          <w:sz w:val="28"/>
          <w:szCs w:val="28"/>
        </w:rPr>
        <w:t xml:space="preserve"> methods to ensure fair, equitable access and rational use of non-geostationary</w:t>
      </w:r>
      <w:r w:rsidR="00A41716" w:rsidRPr="00FA5272">
        <w:rPr>
          <w:b/>
          <w:bCs/>
          <w:sz w:val="28"/>
          <w:szCs w:val="28"/>
        </w:rPr>
        <w:t xml:space="preserve"> (non-GSO)</w:t>
      </w:r>
      <w:r w:rsidR="004C73AD" w:rsidRPr="00FA5272">
        <w:rPr>
          <w:b/>
          <w:bCs/>
          <w:sz w:val="28"/>
          <w:szCs w:val="28"/>
        </w:rPr>
        <w:t xml:space="preserve"> </w:t>
      </w:r>
      <w:r w:rsidR="00DC09AC" w:rsidRPr="00AD10E8">
        <w:rPr>
          <w:b/>
          <w:bCs/>
          <w:sz w:val="28"/>
          <w:szCs w:val="28"/>
        </w:rPr>
        <w:t>FSS[, BSS and MSS</w:t>
      </w:r>
      <w:r w:rsidR="000A43AE" w:rsidRPr="00095C10">
        <w:rPr>
          <w:b/>
          <w:bCs/>
          <w:sz w:val="28"/>
          <w:szCs w:val="28"/>
        </w:rPr>
        <w:t>]</w:t>
      </w:r>
      <w:r w:rsidR="00DC09AC" w:rsidRPr="00FA5272">
        <w:rPr>
          <w:b/>
          <w:bCs/>
          <w:sz w:val="28"/>
          <w:szCs w:val="28"/>
        </w:rPr>
        <w:t xml:space="preserve"> </w:t>
      </w:r>
      <w:r w:rsidR="004C73AD" w:rsidRPr="00FA5272">
        <w:rPr>
          <w:b/>
          <w:bCs/>
          <w:sz w:val="28"/>
          <w:szCs w:val="28"/>
        </w:rPr>
        <w:t>radio-frequency spectrum</w:t>
      </w:r>
      <w:bookmarkEnd w:id="0"/>
    </w:p>
    <w:p w14:paraId="67D07837" w14:textId="2C8ADFFE" w:rsidR="002B45FA" w:rsidRPr="00892FCF" w:rsidRDefault="002B45FA" w:rsidP="001C5D10">
      <w:pPr>
        <w:pStyle w:val="Normalaftertitle"/>
      </w:pPr>
      <w:r w:rsidRPr="00892FCF">
        <w:t>The World Radiocommunication Conference (Dubai, 2023)</w:t>
      </w:r>
    </w:p>
    <w:p w14:paraId="484FDDE2" w14:textId="77777777" w:rsidR="008B2F9E" w:rsidRPr="00892FCF" w:rsidRDefault="008B2F9E" w:rsidP="00892FCF"/>
    <w:p w14:paraId="43A0D116" w14:textId="77777777" w:rsidR="002B45FA" w:rsidRPr="00892FCF" w:rsidRDefault="002B45FA" w:rsidP="00892FCF">
      <w:pPr>
        <w:pStyle w:val="Call"/>
      </w:pPr>
      <w:r w:rsidRPr="00892FCF">
        <w:t>considering</w:t>
      </w:r>
    </w:p>
    <w:p w14:paraId="0B82238B" w14:textId="07EE6331" w:rsidR="002B45FA" w:rsidRPr="00892FCF" w:rsidRDefault="002B45FA" w:rsidP="00892FCF">
      <w:r w:rsidRPr="171FD580">
        <w:rPr>
          <w:i/>
          <w:iCs/>
        </w:rPr>
        <w:t>a)</w:t>
      </w:r>
      <w:r w:rsidRPr="00892FCF">
        <w:tab/>
        <w:t>the active implementation of non-geostationary-satellite orbit (non-GSO) systems in the fixed-satellite service (FSS)</w:t>
      </w:r>
      <w:r w:rsidR="00793AD8" w:rsidRPr="00892FCF">
        <w:t>[</w:t>
      </w:r>
      <w:r w:rsidR="00DD001F" w:rsidRPr="00892FCF">
        <w:t>, broadcasting satellite service (BSS) and mobile satellite service (MSS)</w:t>
      </w:r>
      <w:r w:rsidR="00793AD8" w:rsidRPr="00892FCF">
        <w:t>]</w:t>
      </w:r>
      <w:r w:rsidRPr="00892FCF">
        <w:t xml:space="preserve"> with a global service area and comprising many spacecraft</w:t>
      </w:r>
      <w:r w:rsidR="000B1C9C" w:rsidRPr="00892FCF">
        <w:t>s</w:t>
      </w:r>
      <w:r w:rsidRPr="00892FCF">
        <w:t xml:space="preserve"> covering Earth’s entire surface;</w:t>
      </w:r>
    </w:p>
    <w:p w14:paraId="25AB385D" w14:textId="7CA15DD6" w:rsidR="00E47D28" w:rsidRPr="00892FCF" w:rsidRDefault="00FA5272" w:rsidP="00892FCF">
      <w:r>
        <w:rPr>
          <w:i/>
          <w:iCs/>
        </w:rPr>
        <w:t>b</w:t>
      </w:r>
      <w:r w:rsidR="00E47D28" w:rsidRPr="00892FCF">
        <w:rPr>
          <w:i/>
          <w:iCs/>
        </w:rPr>
        <w:t>)</w:t>
      </w:r>
      <w:r w:rsidR="00E47D28" w:rsidRPr="00892FCF">
        <w:tab/>
        <w:t>the limited available radio-frequency spectrum and associated orbit resources that must be shared among all nations;</w:t>
      </w:r>
    </w:p>
    <w:p w14:paraId="09222B93" w14:textId="090CD7B3" w:rsidR="002B45FA" w:rsidRPr="00892FCF" w:rsidRDefault="00FA5272" w:rsidP="00892FCF">
      <w:pPr>
        <w:rPr>
          <w:lang w:val="en-US"/>
        </w:rPr>
      </w:pPr>
      <w:r>
        <w:rPr>
          <w:i/>
          <w:iCs/>
        </w:rPr>
        <w:t>c</w:t>
      </w:r>
      <w:r w:rsidR="002B45FA" w:rsidRPr="05EDAC06">
        <w:rPr>
          <w:i/>
          <w:iCs/>
        </w:rPr>
        <w:t>)</w:t>
      </w:r>
      <w:r w:rsidR="002B45FA" w:rsidRPr="00892FCF">
        <w:tab/>
        <w:t>that many non-GSO systems operate or are planned to operate in the same FSS</w:t>
      </w:r>
      <w:r w:rsidR="00892FCF" w:rsidRPr="05EDAC06">
        <w:t>[</w:t>
      </w:r>
      <w:r w:rsidR="00DD001F" w:rsidRPr="05EDAC06">
        <w:t xml:space="preserve">, </w:t>
      </w:r>
      <w:r w:rsidR="00DD001F" w:rsidRPr="00892FCF">
        <w:t>BSS and MSS</w:t>
      </w:r>
      <w:r w:rsidR="00892FCF" w:rsidRPr="05EDAC06">
        <w:t>]</w:t>
      </w:r>
      <w:r w:rsidR="002B45FA" w:rsidRPr="00892FCF">
        <w:t xml:space="preserve"> frequency bands</w:t>
      </w:r>
      <w:r w:rsidR="00E47D28" w:rsidRPr="00892FCF">
        <w:rPr>
          <w:lang w:val="en-US"/>
        </w:rPr>
        <w:t xml:space="preserve"> and </w:t>
      </w:r>
      <w:r w:rsidR="00E47D28" w:rsidRPr="00892FCF">
        <w:t>large non-GSO systems may have a</w:t>
      </w:r>
      <w:r>
        <w:t>n</w:t>
      </w:r>
      <w:r w:rsidR="00E47D28" w:rsidRPr="00892FCF">
        <w:t xml:space="preserve"> impact on the ability of smaller non-GSO systems to share use of the same radio-frequency spectrum</w:t>
      </w:r>
      <w:r w:rsidR="002B45FA" w:rsidRPr="05EDAC06">
        <w:t>;</w:t>
      </w:r>
    </w:p>
    <w:p w14:paraId="1230BC7A" w14:textId="58012313" w:rsidR="002B45FA" w:rsidRPr="00892FCF" w:rsidRDefault="00FA5272" w:rsidP="00892FCF">
      <w:pPr>
        <w:rPr>
          <w:lang w:eastAsia="zh-CN"/>
        </w:rPr>
      </w:pPr>
      <w:r w:rsidRPr="00FA5272">
        <w:rPr>
          <w:i/>
          <w:iCs/>
          <w:lang w:val="en-US" w:eastAsia="zh-CN"/>
        </w:rPr>
        <w:t>d</w:t>
      </w:r>
      <w:r w:rsidR="002B45FA" w:rsidRPr="00FA5272">
        <w:rPr>
          <w:i/>
          <w:iCs/>
          <w:lang w:eastAsia="zh-CN"/>
        </w:rPr>
        <w:t>)</w:t>
      </w:r>
      <w:r w:rsidR="002B45FA" w:rsidRPr="00FA5272">
        <w:rPr>
          <w:lang w:eastAsia="zh-CN"/>
        </w:rPr>
        <w:tab/>
        <w:t>that some administrations have made substantial modifications to</w:t>
      </w:r>
      <w:r w:rsidR="00DD001F" w:rsidRPr="00FA5272">
        <w:rPr>
          <w:lang w:eastAsia="zh-CN"/>
        </w:rPr>
        <w:t xml:space="preserve"> non-GSO systems</w:t>
      </w:r>
      <w:r w:rsidR="002B45FA" w:rsidRPr="00FA5272">
        <w:rPr>
          <w:lang w:eastAsia="zh-CN"/>
        </w:rPr>
        <w:t xml:space="preserve"> filings multiple times, </w:t>
      </w:r>
      <w:r w:rsidR="001E514F" w:rsidRPr="00FA5272">
        <w:rPr>
          <w:lang w:eastAsia="zh-CN"/>
        </w:rPr>
        <w:t>significantly</w:t>
      </w:r>
      <w:r w:rsidR="00DD001F" w:rsidRPr="00FA5272">
        <w:rPr>
          <w:lang w:eastAsia="zh-CN"/>
        </w:rPr>
        <w:t xml:space="preserve"> changing</w:t>
      </w:r>
      <w:r w:rsidR="002B45FA" w:rsidRPr="00FA5272">
        <w:rPr>
          <w:lang w:eastAsia="zh-CN"/>
        </w:rPr>
        <w:t xml:space="preserve"> orbital configurations (e.g., add planes with different altitudes and modify the number of satellites per plane, etc.), </w:t>
      </w:r>
      <w:r w:rsidR="00DD001F" w:rsidRPr="00FA5272">
        <w:rPr>
          <w:lang w:eastAsia="zh-CN"/>
        </w:rPr>
        <w:t xml:space="preserve">which </w:t>
      </w:r>
      <w:r w:rsidR="000A43AE" w:rsidRPr="00FA5272">
        <w:rPr>
          <w:lang w:eastAsia="zh-CN"/>
        </w:rPr>
        <w:t>may</w:t>
      </w:r>
      <w:r w:rsidR="00DD001F" w:rsidRPr="00FA5272">
        <w:rPr>
          <w:lang w:eastAsia="zh-CN"/>
        </w:rPr>
        <w:t xml:space="preserve"> </w:t>
      </w:r>
      <w:r w:rsidR="002B45FA" w:rsidRPr="00FA5272">
        <w:rPr>
          <w:lang w:eastAsia="zh-CN"/>
        </w:rPr>
        <w:t xml:space="preserve">increase the risk of potential interference and </w:t>
      </w:r>
      <w:r w:rsidR="00DD001F" w:rsidRPr="00FA5272">
        <w:rPr>
          <w:lang w:eastAsia="zh-CN"/>
        </w:rPr>
        <w:t>change</w:t>
      </w:r>
      <w:r w:rsidR="002B45FA" w:rsidRPr="00FA5272">
        <w:rPr>
          <w:lang w:eastAsia="zh-CN"/>
        </w:rPr>
        <w:t xml:space="preserve"> </w:t>
      </w:r>
      <w:r w:rsidR="00DD001F" w:rsidRPr="00FA5272">
        <w:rPr>
          <w:lang w:eastAsia="zh-CN"/>
        </w:rPr>
        <w:t xml:space="preserve">agreed </w:t>
      </w:r>
      <w:r w:rsidR="002B45FA" w:rsidRPr="00FA5272">
        <w:rPr>
          <w:lang w:eastAsia="zh-CN"/>
        </w:rPr>
        <w:t>coordination</w:t>
      </w:r>
      <w:r w:rsidR="00DD001F" w:rsidRPr="00FA5272">
        <w:rPr>
          <w:lang w:eastAsia="zh-CN"/>
        </w:rPr>
        <w:t xml:space="preserve"> conditions</w:t>
      </w:r>
      <w:r w:rsidR="000A43AE" w:rsidRPr="00FA5272">
        <w:rPr>
          <w:lang w:eastAsia="zh-CN"/>
        </w:rPr>
        <w:t xml:space="preserve"> since the absence of appropriate criteria or calculation methods to verify that there is no increase interference or protection</w:t>
      </w:r>
      <w:r w:rsidR="002B45FA" w:rsidRPr="00FA5272">
        <w:rPr>
          <w:lang w:eastAsia="zh-CN"/>
        </w:rPr>
        <w:t>;</w:t>
      </w:r>
    </w:p>
    <w:p w14:paraId="59ED5AA1" w14:textId="007023DE" w:rsidR="00FA5272" w:rsidRDefault="00CB626F" w:rsidP="171FD580">
      <w:r>
        <w:rPr>
          <w:i/>
          <w:iCs/>
        </w:rPr>
        <w:t>e</w:t>
      </w:r>
      <w:r w:rsidR="00E47D28" w:rsidRPr="171FD580">
        <w:rPr>
          <w:i/>
          <w:iCs/>
        </w:rPr>
        <w:t>)</w:t>
      </w:r>
      <w:r w:rsidR="00E47D28" w:rsidRPr="00892FCF">
        <w:tab/>
      </w:r>
      <w:r w:rsidRPr="00CB626F">
        <w:t xml:space="preserve">that </w:t>
      </w:r>
      <w:r>
        <w:t>case</w:t>
      </w:r>
      <w:r w:rsidRPr="00CB626F">
        <w:t xml:space="preserve">s such as filings used by non-GSO satellite systems submitted by multiple administrations, the unclear use of filings by non-GSO satellites systems and inconsistencies between the actual deployed non-GSO satellite systems and their filings, </w:t>
      </w:r>
      <w:r>
        <w:t xml:space="preserve">may </w:t>
      </w:r>
      <w:r w:rsidRPr="00CB626F">
        <w:t>creat</w:t>
      </w:r>
      <w:r>
        <w:t>e</w:t>
      </w:r>
      <w:r w:rsidRPr="00CB626F">
        <w:t xml:space="preserve"> difficulties in addressing harmful interference among satellite systems</w:t>
      </w:r>
      <w:r>
        <w:t>;</w:t>
      </w:r>
    </w:p>
    <w:p w14:paraId="53916BD6" w14:textId="0BB978D6" w:rsidR="00FA5272" w:rsidRPr="00892FCF" w:rsidRDefault="00CB626F" w:rsidP="00FA5272">
      <w:r>
        <w:rPr>
          <w:i/>
          <w:iCs/>
        </w:rPr>
        <w:t>f</w:t>
      </w:r>
      <w:r w:rsidR="00FA5272" w:rsidRPr="171FD580">
        <w:rPr>
          <w:i/>
          <w:iCs/>
        </w:rPr>
        <w:t>)</w:t>
      </w:r>
      <w:r w:rsidR="00FA5272" w:rsidRPr="00892FCF">
        <w:tab/>
        <w:t>reports to ITU-R from administrations regarding the presence of unauthorized transmissions of Earth stations of non-GSO FSS[ and MSS] systems within their territory</w:t>
      </w:r>
      <w:r>
        <w:t>,</w:t>
      </w:r>
    </w:p>
    <w:p w14:paraId="5E54FCE0" w14:textId="77777777" w:rsidR="002B45FA" w:rsidRPr="00892FCF" w:rsidRDefault="002B45FA" w:rsidP="00892FCF">
      <w:pPr>
        <w:pStyle w:val="Call"/>
      </w:pPr>
      <w:r w:rsidRPr="00892FCF">
        <w:t>noting</w:t>
      </w:r>
    </w:p>
    <w:p w14:paraId="7AB5814B" w14:textId="39F29F15" w:rsidR="002B45FA" w:rsidRPr="001C5D10" w:rsidRDefault="00FE26CB" w:rsidP="001C5D10">
      <w:pPr>
        <w:pStyle w:val="ListParagraph"/>
        <w:numPr>
          <w:ilvl w:val="0"/>
          <w:numId w:val="2"/>
        </w:numPr>
        <w:spacing w:before="120"/>
        <w:ind w:left="0" w:firstLine="0"/>
        <w:rPr>
          <w:i/>
          <w:iCs/>
        </w:rPr>
      </w:pPr>
      <w:r w:rsidRPr="00FE26CB">
        <w:t xml:space="preserve"> that Resolution </w:t>
      </w:r>
      <w:r w:rsidRPr="004940CC">
        <w:rPr>
          <w:b/>
          <w:bCs/>
        </w:rPr>
        <w:t>219</w:t>
      </w:r>
      <w:r w:rsidRPr="00FE26CB">
        <w:t xml:space="preserve"> </w:t>
      </w:r>
      <w:r w:rsidRPr="004940CC">
        <w:rPr>
          <w:b/>
          <w:bCs/>
        </w:rPr>
        <w:t>(Bucharest, 2022)</w:t>
      </w:r>
      <w:r w:rsidRPr="00FE26CB">
        <w:t xml:space="preserve"> instructs the Director of the Radiocommunication Bureau to submit the results of the relevant studies to the subsequent world radiocommunication conference (WRC), preferably to WRC-23, and report on the results of implementation of this resolution and take any necessary action, as appropriate,</w:t>
      </w:r>
    </w:p>
    <w:p w14:paraId="202E1CB3" w14:textId="77777777" w:rsidR="002B45FA" w:rsidRPr="00892FCF" w:rsidRDefault="002B45FA" w:rsidP="00892FCF">
      <w:pPr>
        <w:pStyle w:val="Call"/>
      </w:pPr>
      <w:r w:rsidRPr="00892FCF">
        <w:lastRenderedPageBreak/>
        <w:t>recognizing</w:t>
      </w:r>
    </w:p>
    <w:p w14:paraId="11114A9C" w14:textId="41D2132E" w:rsidR="00095C10" w:rsidRDefault="002936C7" w:rsidP="00095C10">
      <w:pPr>
        <w:pStyle w:val="ListParagraph"/>
        <w:numPr>
          <w:ilvl w:val="0"/>
          <w:numId w:val="14"/>
        </w:numPr>
        <w:spacing w:before="120"/>
      </w:pPr>
      <w:r w:rsidRPr="002936C7">
        <w:t xml:space="preserve">that existing practical experience shows that the current equivalent power flux density limits stipulated in Article </w:t>
      </w:r>
      <w:r w:rsidRPr="004940CC">
        <w:rPr>
          <w:b/>
          <w:bCs/>
        </w:rPr>
        <w:t>22</w:t>
      </w:r>
      <w:r w:rsidRPr="002936C7">
        <w:t xml:space="preserve"> and Resolution </w:t>
      </w:r>
      <w:r w:rsidRPr="004940CC">
        <w:rPr>
          <w:b/>
          <w:bCs/>
        </w:rPr>
        <w:t>76 (Rev.WRC-15)</w:t>
      </w:r>
      <w:r w:rsidRPr="002936C7">
        <w:t xml:space="preserve"> are effective in protecting GSO systems;</w:t>
      </w:r>
    </w:p>
    <w:p w14:paraId="67792943" w14:textId="7CBB1B1D" w:rsidR="00095C10" w:rsidRDefault="00095C10" w:rsidP="00095C10">
      <w:pPr>
        <w:pStyle w:val="ListParagraph"/>
        <w:numPr>
          <w:ilvl w:val="0"/>
          <w:numId w:val="14"/>
        </w:numPr>
        <w:spacing w:before="120"/>
      </w:pPr>
      <w:r w:rsidRPr="00095C10">
        <w:t xml:space="preserve">that, however, it is urgent to develop regulatory </w:t>
      </w:r>
      <w:r>
        <w:t>method</w:t>
      </w:r>
      <w:r w:rsidRPr="00095C10">
        <w:t xml:space="preserve"> in the Radio Regulations to ensure compatibility among non-GSO satellite systems, as well as the equitable and rational use of related spectrum and orbit resources;</w:t>
      </w:r>
    </w:p>
    <w:p w14:paraId="0CA1B8DC" w14:textId="2CB3CB67" w:rsidR="002B45FA" w:rsidRDefault="001E514F" w:rsidP="00095C10">
      <w:pPr>
        <w:pStyle w:val="ListParagraph"/>
        <w:numPr>
          <w:ilvl w:val="0"/>
          <w:numId w:val="14"/>
        </w:numPr>
        <w:spacing w:before="120"/>
      </w:pPr>
      <w:r w:rsidRPr="00892FCF">
        <w:t xml:space="preserve">that Resolution </w:t>
      </w:r>
      <w:r w:rsidR="00490AA6" w:rsidRPr="00892FCF">
        <w:t xml:space="preserve">ITU-R </w:t>
      </w:r>
      <w:r w:rsidR="001C5D10" w:rsidRPr="004940CC">
        <w:rPr>
          <w:b/>
          <w:bCs/>
        </w:rPr>
        <w:t>74</w:t>
      </w:r>
      <w:r w:rsidRPr="004940CC">
        <w:rPr>
          <w:b/>
          <w:bCs/>
        </w:rPr>
        <w:t xml:space="preserve"> (RA-23)</w:t>
      </w:r>
      <w:r w:rsidRPr="00892FCF">
        <w:t xml:space="preserve"> </w:t>
      </w:r>
      <w:r w:rsidR="00490AA6" w:rsidRPr="001C5D10">
        <w:t xml:space="preserve">focuses on </w:t>
      </w:r>
      <w:r w:rsidR="00490AA6" w:rsidRPr="00892FCF">
        <w:t>technical activities, including those on interference assessment and mitigation techniques among non-GSO systems, however</w:t>
      </w:r>
      <w:r w:rsidR="00490AA6" w:rsidRPr="001C5D10">
        <w:t xml:space="preserve"> </w:t>
      </w:r>
      <w:r w:rsidRPr="00892FCF">
        <w:t>does not address regulatory framework for non-GSO FSS</w:t>
      </w:r>
      <w:r w:rsidR="00892FCF" w:rsidRPr="05EDAC06">
        <w:t>[</w:t>
      </w:r>
      <w:r w:rsidRPr="00892FCF">
        <w:t>, BSS and MSS</w:t>
      </w:r>
      <w:r w:rsidR="00892FCF" w:rsidRPr="05EDAC06">
        <w:t>]</w:t>
      </w:r>
      <w:r w:rsidRPr="00892FCF">
        <w:t xml:space="preserve"> satellite systems</w:t>
      </w:r>
      <w:r w:rsidRPr="05EDAC06">
        <w:t>,</w:t>
      </w:r>
    </w:p>
    <w:p w14:paraId="7A3B638D" w14:textId="77777777" w:rsidR="004E24F8" w:rsidRPr="004E24F8" w:rsidRDefault="004E24F8" w:rsidP="004E24F8">
      <w:pPr>
        <w:pStyle w:val="ListParagraph"/>
        <w:numPr>
          <w:ilvl w:val="0"/>
          <w:numId w:val="14"/>
        </w:numPr>
        <w:spacing w:before="120"/>
      </w:pPr>
      <w:r w:rsidRPr="004E24F8">
        <w:t xml:space="preserve">that No. </w:t>
      </w:r>
      <w:r w:rsidRPr="004940CC">
        <w:rPr>
          <w:b/>
          <w:bCs/>
        </w:rPr>
        <w:t>18.1</w:t>
      </w:r>
      <w:r w:rsidRPr="004E24F8">
        <w:t xml:space="preserve"> of the Radio Regulations provides that no transmitting station may be established or operated by a private person or by any enterprise without a licence issued in an appropriate form and in conformity with the provisions of the Radio Regulations by or on behalf of the government of the country to which the station in question is subject;</w:t>
      </w:r>
    </w:p>
    <w:p w14:paraId="53670C23" w14:textId="058BCD02" w:rsidR="004E24F8" w:rsidRPr="004E24F8" w:rsidRDefault="004E24F8" w:rsidP="004E24F8">
      <w:pPr>
        <w:pStyle w:val="ListParagraph"/>
        <w:numPr>
          <w:ilvl w:val="0"/>
          <w:numId w:val="14"/>
        </w:numPr>
        <w:spacing w:before="120"/>
      </w:pPr>
      <w:r w:rsidRPr="004E24F8">
        <w:t xml:space="preserve">that Resolution </w:t>
      </w:r>
      <w:r w:rsidRPr="004940CC">
        <w:rPr>
          <w:b/>
          <w:bCs/>
        </w:rPr>
        <w:t>22 (WRC</w:t>
      </w:r>
      <w:r w:rsidR="004940CC">
        <w:rPr>
          <w:b/>
          <w:bCs/>
        </w:rPr>
        <w:t>-</w:t>
      </w:r>
      <w:r w:rsidRPr="004940CC">
        <w:rPr>
          <w:b/>
          <w:bCs/>
        </w:rPr>
        <w:t>19)</w:t>
      </w:r>
      <w:r w:rsidRPr="004E24F8">
        <w:t xml:space="preserve">, on measures to limit only unauthorized uplink transmissions from earth stations, resolves that the operation of transmitting earth stations within the territory of an administration shall be carried out only if authorized by that administration; </w:t>
      </w:r>
    </w:p>
    <w:p w14:paraId="333D9408" w14:textId="1DB86AB5" w:rsidR="002B45FA" w:rsidRPr="00892FCF" w:rsidRDefault="002B45FA" w:rsidP="001C5D10">
      <w:pPr>
        <w:pStyle w:val="Call"/>
      </w:pPr>
      <w:r w:rsidRPr="00892FCF">
        <w:t xml:space="preserve">resolves to invite the </w:t>
      </w:r>
      <w:r w:rsidR="002A2D39" w:rsidRPr="00892FCF">
        <w:t xml:space="preserve">ITU Radiocommunication Sector to complete in time for the </w:t>
      </w:r>
      <w:r w:rsidR="000B1C9C" w:rsidRPr="00892FCF">
        <w:t>2027</w:t>
      </w:r>
      <w:r w:rsidR="002A2D39" w:rsidRPr="00892FCF">
        <w:t xml:space="preserve"> world radiocommunication conference </w:t>
      </w:r>
    </w:p>
    <w:p w14:paraId="6B2C2C4D" w14:textId="44DF006C" w:rsidR="00423240" w:rsidRPr="00892FCF" w:rsidRDefault="00423240" w:rsidP="001C5D10">
      <w:pPr>
        <w:pStyle w:val="ListParagraph"/>
        <w:numPr>
          <w:ilvl w:val="0"/>
          <w:numId w:val="8"/>
        </w:numPr>
        <w:tabs>
          <w:tab w:val="left" w:pos="1134"/>
        </w:tabs>
        <w:spacing w:before="120"/>
        <w:ind w:left="0" w:firstLine="0"/>
      </w:pPr>
      <w:r w:rsidRPr="00892FCF">
        <w:rPr>
          <w:lang w:eastAsia="zh-CN"/>
        </w:rPr>
        <w:t xml:space="preserve">studies to develop appropriate </w:t>
      </w:r>
      <w:r w:rsidRPr="00892FCF">
        <w:t>methodolog</w:t>
      </w:r>
      <w:r w:rsidRPr="00892FCF">
        <w:rPr>
          <w:lang w:eastAsia="zh-CN"/>
        </w:rPr>
        <w:t>ies</w:t>
      </w:r>
      <w:r w:rsidRPr="00892FCF">
        <w:t xml:space="preserve"> and </w:t>
      </w:r>
      <w:r w:rsidR="006E0D58">
        <w:t xml:space="preserve">to improve </w:t>
      </w:r>
      <w:r w:rsidRPr="00892FCF">
        <w:t>regulatory framework</w:t>
      </w:r>
      <w:r w:rsidR="006E0D58">
        <w:t xml:space="preserve"> for non-GSO </w:t>
      </w:r>
      <w:r w:rsidR="006E0D58" w:rsidRPr="00892FCF">
        <w:t>FSS</w:t>
      </w:r>
      <w:r w:rsidR="006E0D58" w:rsidRPr="05EDAC06">
        <w:t>[</w:t>
      </w:r>
      <w:r w:rsidR="006E0D58" w:rsidRPr="00892FCF">
        <w:t>, BSS and MSS</w:t>
      </w:r>
      <w:r w:rsidR="006E0D58" w:rsidRPr="05EDAC06">
        <w:t>]</w:t>
      </w:r>
      <w:r w:rsidR="006E0D58" w:rsidRPr="00892FCF">
        <w:t xml:space="preserve"> satellite systems</w:t>
      </w:r>
      <w:r w:rsidRPr="00892FCF">
        <w:t xml:space="preserve">, to </w:t>
      </w:r>
      <w:r w:rsidRPr="00892FCF">
        <w:rPr>
          <w:lang w:eastAsia="zh-CN"/>
        </w:rPr>
        <w:t>address the issue</w:t>
      </w:r>
      <w:r w:rsidR="00596ACB" w:rsidRPr="00892FCF">
        <w:rPr>
          <w:lang w:eastAsia="zh-CN"/>
        </w:rPr>
        <w:t>s</w:t>
      </w:r>
      <w:r w:rsidRPr="00892FCF">
        <w:rPr>
          <w:lang w:eastAsia="zh-CN"/>
        </w:rPr>
        <w:t xml:space="preserve"> </w:t>
      </w:r>
      <w:r w:rsidR="00596ACB" w:rsidRPr="00892FCF">
        <w:rPr>
          <w:lang w:eastAsia="zh-CN"/>
        </w:rPr>
        <w:t>includ</w:t>
      </w:r>
      <w:r w:rsidR="00596ACB" w:rsidRPr="00892FCF">
        <w:t xml:space="preserve">ing but not limited to those </w:t>
      </w:r>
      <w:r w:rsidR="00596ACB" w:rsidRPr="00892FCF">
        <w:rPr>
          <w:lang w:eastAsia="zh-CN"/>
        </w:rPr>
        <w:t xml:space="preserve">described in </w:t>
      </w:r>
      <w:r w:rsidR="00596ACB" w:rsidRPr="05EDAC06">
        <w:rPr>
          <w:i/>
          <w:iCs/>
          <w:lang w:eastAsia="zh-CN"/>
        </w:rPr>
        <w:t xml:space="preserve">considering </w:t>
      </w:r>
      <w:r w:rsidR="00095C10">
        <w:rPr>
          <w:i/>
          <w:iCs/>
          <w:lang w:eastAsia="zh-CN"/>
        </w:rPr>
        <w:t xml:space="preserve">c, d, </w:t>
      </w:r>
      <w:r w:rsidR="008A3498" w:rsidRPr="05EDAC06">
        <w:rPr>
          <w:i/>
          <w:iCs/>
          <w:lang w:eastAsia="zh-CN"/>
        </w:rPr>
        <w:t>e</w:t>
      </w:r>
      <w:r w:rsidR="00596ACB" w:rsidRPr="05EDAC06">
        <w:rPr>
          <w:i/>
          <w:iCs/>
          <w:lang w:eastAsia="zh-CN"/>
        </w:rPr>
        <w:t>)</w:t>
      </w:r>
      <w:r w:rsidR="00596ACB" w:rsidRPr="05EDAC06">
        <w:t xml:space="preserve">, </w:t>
      </w:r>
      <w:r w:rsidR="00596ACB" w:rsidRPr="00892FCF">
        <w:t xml:space="preserve">taking into account </w:t>
      </w:r>
      <w:r w:rsidRPr="00892FCF">
        <w:rPr>
          <w:lang w:eastAsia="zh-CN"/>
        </w:rPr>
        <w:t>equitable access to and rational use of limited spectrum and orbit resources by administrations operating or planning</w:t>
      </w:r>
      <w:r w:rsidRPr="00892FCF">
        <w:t xml:space="preserve"> to operate non-GSO FSS</w:t>
      </w:r>
      <w:r w:rsidR="00892FCF" w:rsidRPr="05EDAC06">
        <w:t>[</w:t>
      </w:r>
      <w:r w:rsidR="00950379" w:rsidRPr="00892FCF">
        <w:t>, BSS and MSS</w:t>
      </w:r>
      <w:r w:rsidR="00892FCF" w:rsidRPr="05EDAC06">
        <w:t>]</w:t>
      </w:r>
      <w:r w:rsidRPr="00892FCF">
        <w:t xml:space="preserve"> satellite systems</w:t>
      </w:r>
      <w:r w:rsidR="004101A8" w:rsidRPr="05EDAC06">
        <w:t>;</w:t>
      </w:r>
    </w:p>
    <w:p w14:paraId="5648099B" w14:textId="5F447DD9" w:rsidR="002B45FA" w:rsidRPr="00095C10" w:rsidRDefault="009702E4" w:rsidP="001C5D10">
      <w:pPr>
        <w:pStyle w:val="ListParagraph"/>
        <w:numPr>
          <w:ilvl w:val="0"/>
          <w:numId w:val="8"/>
        </w:numPr>
        <w:tabs>
          <w:tab w:val="left" w:pos="1134"/>
        </w:tabs>
        <w:spacing w:before="120"/>
        <w:ind w:left="0" w:firstLine="0"/>
        <w:rPr>
          <w:lang w:eastAsia="zh-CN"/>
        </w:rPr>
      </w:pPr>
      <w:r w:rsidRPr="00095C10">
        <w:rPr>
          <w:lang w:eastAsia="zh-CN"/>
        </w:rPr>
        <w:t xml:space="preserve">development </w:t>
      </w:r>
      <w:r w:rsidR="002B45FA" w:rsidRPr="00095C10">
        <w:rPr>
          <w:lang w:eastAsia="zh-CN"/>
        </w:rPr>
        <w:t xml:space="preserve">of </w:t>
      </w:r>
      <w:r w:rsidRPr="00095C10">
        <w:rPr>
          <w:lang w:eastAsia="zh-CN"/>
        </w:rPr>
        <w:t xml:space="preserve">regulatory </w:t>
      </w:r>
      <w:r w:rsidR="002B45FA" w:rsidRPr="00095C10">
        <w:rPr>
          <w:lang w:eastAsia="zh-CN"/>
        </w:rPr>
        <w:t xml:space="preserve">measures to </w:t>
      </w:r>
      <w:r w:rsidR="00445928" w:rsidRPr="00095C10">
        <w:rPr>
          <w:lang w:eastAsia="zh-CN"/>
        </w:rPr>
        <w:t xml:space="preserve">improve and facilitate the </w:t>
      </w:r>
      <w:r w:rsidR="00061524" w:rsidRPr="00095C10">
        <w:rPr>
          <w:lang w:eastAsia="zh-CN"/>
        </w:rPr>
        <w:t>implement</w:t>
      </w:r>
      <w:r w:rsidR="00445928" w:rsidRPr="00095C10">
        <w:rPr>
          <w:lang w:eastAsia="zh-CN"/>
        </w:rPr>
        <w:t>ation of</w:t>
      </w:r>
      <w:r w:rsidR="00061524" w:rsidRPr="00095C10">
        <w:rPr>
          <w:lang w:eastAsia="zh-CN"/>
        </w:rPr>
        <w:t xml:space="preserve"> </w:t>
      </w:r>
      <w:r w:rsidR="00445928" w:rsidRPr="00095C10">
        <w:rPr>
          <w:lang w:eastAsia="zh-CN"/>
        </w:rPr>
        <w:t xml:space="preserve">No. </w:t>
      </w:r>
      <w:r w:rsidR="00445928" w:rsidRPr="00095C10">
        <w:rPr>
          <w:b/>
          <w:bCs/>
          <w:lang w:eastAsia="zh-CN"/>
        </w:rPr>
        <w:t>18.1</w:t>
      </w:r>
      <w:r w:rsidR="00445928" w:rsidRPr="00095C10">
        <w:rPr>
          <w:lang w:eastAsia="zh-CN"/>
        </w:rPr>
        <w:t xml:space="preserve"> of the Radio Regulations and Resolution </w:t>
      </w:r>
      <w:r w:rsidR="00445928" w:rsidRPr="00095C10">
        <w:rPr>
          <w:b/>
          <w:bCs/>
          <w:lang w:eastAsia="zh-CN"/>
        </w:rPr>
        <w:t>22 (WRC</w:t>
      </w:r>
      <w:r w:rsidR="004E5F73" w:rsidRPr="00095C10">
        <w:rPr>
          <w:b/>
          <w:bCs/>
          <w:lang w:eastAsia="zh-CN"/>
        </w:rPr>
        <w:t>-</w:t>
      </w:r>
      <w:r w:rsidR="00445928" w:rsidRPr="00095C10">
        <w:rPr>
          <w:b/>
          <w:bCs/>
          <w:lang w:eastAsia="zh-CN"/>
        </w:rPr>
        <w:t>19)</w:t>
      </w:r>
      <w:r w:rsidR="00445928" w:rsidRPr="00095C10">
        <w:rPr>
          <w:lang w:eastAsia="zh-CN"/>
        </w:rPr>
        <w:t xml:space="preserve"> to </w:t>
      </w:r>
      <w:r w:rsidR="00061524" w:rsidRPr="00095C10">
        <w:rPr>
          <w:lang w:eastAsia="zh-CN"/>
        </w:rPr>
        <w:t>avoid the operation of  unauthorized earth stations in an administration’s national territory which has not been authorized by that administration</w:t>
      </w:r>
      <w:r w:rsidR="002B45FA" w:rsidRPr="00095C10">
        <w:rPr>
          <w:lang w:eastAsia="zh-CN"/>
        </w:rPr>
        <w:t>;</w:t>
      </w:r>
    </w:p>
    <w:p w14:paraId="77CF87A9" w14:textId="77777777" w:rsidR="002B45FA" w:rsidRPr="00892FCF" w:rsidRDefault="002B45FA" w:rsidP="00892FCF">
      <w:pPr>
        <w:pStyle w:val="Call"/>
      </w:pPr>
      <w:r w:rsidRPr="00892FCF">
        <w:t>invites administrations</w:t>
      </w:r>
    </w:p>
    <w:p w14:paraId="37A09EA3" w14:textId="17FDD27B" w:rsidR="002B45FA" w:rsidRPr="00892FCF" w:rsidRDefault="002B45FA" w:rsidP="171FD580">
      <w:r w:rsidRPr="00892FCF">
        <w:t xml:space="preserve">to participate actively in the studies </w:t>
      </w:r>
      <w:r w:rsidR="00A43112" w:rsidRPr="00892FCF">
        <w:rPr>
          <w:lang w:val="en-US"/>
        </w:rPr>
        <w:t xml:space="preserve">and provide the information required for the studies listed under </w:t>
      </w:r>
      <w:r w:rsidR="00A43112" w:rsidRPr="171FD580">
        <w:rPr>
          <w:i/>
          <w:iCs/>
          <w:lang w:val="en-US"/>
        </w:rPr>
        <w:t xml:space="preserve">resolves to invite </w:t>
      </w:r>
      <w:r w:rsidR="00A43112" w:rsidRPr="171FD580">
        <w:rPr>
          <w:i/>
          <w:iCs/>
        </w:rPr>
        <w:t>the ITU Radiocommunication Sector</w:t>
      </w:r>
      <w:r w:rsidR="00A43112" w:rsidRPr="171FD580">
        <w:rPr>
          <w:i/>
          <w:iCs/>
          <w:lang w:val="en-US"/>
        </w:rPr>
        <w:t xml:space="preserve"> to complete in time for </w:t>
      </w:r>
      <w:r w:rsidR="00A43112" w:rsidRPr="171FD580">
        <w:rPr>
          <w:i/>
          <w:iCs/>
        </w:rPr>
        <w:t xml:space="preserve">the </w:t>
      </w:r>
      <w:r w:rsidR="00A43112" w:rsidRPr="001C5D10">
        <w:rPr>
          <w:i/>
          <w:iCs/>
          <w:lang w:val="en-US"/>
        </w:rPr>
        <w:t xml:space="preserve">2027 </w:t>
      </w:r>
      <w:r w:rsidR="00A43112" w:rsidRPr="171FD580">
        <w:rPr>
          <w:i/>
          <w:iCs/>
          <w:lang w:val="en-US"/>
        </w:rPr>
        <w:t xml:space="preserve">world radiocommunication </w:t>
      </w:r>
      <w:r w:rsidRPr="00892FCF">
        <w:t>by submitting contributions to the ITU</w:t>
      </w:r>
      <w:r w:rsidR="00A43112" w:rsidRPr="001C5D10">
        <w:rPr>
          <w:lang w:val="en-US"/>
        </w:rPr>
        <w:t>-</w:t>
      </w:r>
      <w:r w:rsidR="008A3498" w:rsidRPr="00892FCF">
        <w:rPr>
          <w:lang w:val="en-US"/>
        </w:rPr>
        <w:t>R</w:t>
      </w:r>
      <w:r w:rsidRPr="00892FCF">
        <w:t>.</w:t>
      </w:r>
    </w:p>
    <w:p w14:paraId="6EBD7F1E" w14:textId="7F806929" w:rsidR="002A2D39" w:rsidRPr="00892FCF" w:rsidRDefault="002A2D39" w:rsidP="001C5D10">
      <w:pPr>
        <w:pStyle w:val="Call"/>
      </w:pPr>
      <w:r w:rsidRPr="00892FCF">
        <w:t>resolves to invite the 2027 world radiocommunication conference</w:t>
      </w:r>
    </w:p>
    <w:p w14:paraId="605DC1D3" w14:textId="33F8580A" w:rsidR="00892FCF" w:rsidRPr="00892FCF" w:rsidRDefault="008A3498" w:rsidP="171FD580">
      <w:r w:rsidRPr="00892FCF">
        <w:t>to consider and develop regulatory provisions and methods, based on the outcomes of ITU Radiocommunication Sector studies, to ensure fair, equitable access and rational use of non-geostationary (non-GSO) radio-frequency spectrum and associated orbits resources.</w:t>
      </w:r>
      <w:r w:rsidR="00682E8C" w:rsidRPr="00892FCF">
        <w:t xml:space="preserve"> </w:t>
      </w:r>
    </w:p>
    <w:p w14:paraId="6CFB4AB6" w14:textId="786A8D2C" w:rsidR="008F618B" w:rsidRPr="008F618B" w:rsidRDefault="008F618B" w:rsidP="00892FCF">
      <w:pPr>
        <w:rPr>
          <w:i/>
          <w:lang w:val="ru-RU"/>
        </w:rPr>
      </w:pPr>
    </w:p>
    <w:sectPr w:rsidR="008F618B" w:rsidRPr="008F618B" w:rsidSect="001C5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7FF0" w14:textId="77777777" w:rsidR="006A656D" w:rsidRDefault="006A656D" w:rsidP="00FA5272">
      <w:pPr>
        <w:spacing w:before="0"/>
      </w:pPr>
      <w:r>
        <w:separator/>
      </w:r>
    </w:p>
  </w:endnote>
  <w:endnote w:type="continuationSeparator" w:id="0">
    <w:p w14:paraId="62483261" w14:textId="77777777" w:rsidR="006A656D" w:rsidRDefault="006A656D" w:rsidP="00FA52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1D31" w14:textId="77777777" w:rsidR="006A656D" w:rsidRDefault="006A656D" w:rsidP="00FA5272">
      <w:pPr>
        <w:spacing w:before="0"/>
      </w:pPr>
      <w:r>
        <w:separator/>
      </w:r>
    </w:p>
  </w:footnote>
  <w:footnote w:type="continuationSeparator" w:id="0">
    <w:p w14:paraId="538C366B" w14:textId="77777777" w:rsidR="006A656D" w:rsidRDefault="006A656D" w:rsidP="00FA527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177"/>
    <w:multiLevelType w:val="hybridMultilevel"/>
    <w:tmpl w:val="7CB8079E"/>
    <w:lvl w:ilvl="0" w:tplc="80A24B88">
      <w:start w:val="1"/>
      <w:numFmt w:val="lowerLetter"/>
      <w:lvlText w:val="%1)"/>
      <w:lvlJc w:val="left"/>
      <w:pPr>
        <w:ind w:left="720" w:hanging="360"/>
      </w:pPr>
      <w:rPr>
        <w:rFonts w:hint="default"/>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C7B5D"/>
    <w:multiLevelType w:val="hybridMultilevel"/>
    <w:tmpl w:val="06CAD7A2"/>
    <w:lvl w:ilvl="0" w:tplc="81AE88D0">
      <w:start w:val="1"/>
      <w:numFmt w:val="lowerLetter"/>
      <w:lvlText w:val="%1)"/>
      <w:lvlJc w:val="left"/>
      <w:pPr>
        <w:ind w:left="440" w:hanging="44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705592F"/>
    <w:multiLevelType w:val="hybridMultilevel"/>
    <w:tmpl w:val="A774B818"/>
    <w:lvl w:ilvl="0" w:tplc="58FAC554">
      <w:start w:val="1"/>
      <w:numFmt w:val="lowerLetter"/>
      <w:lvlText w:val="%1)"/>
      <w:lvlJc w:val="left"/>
      <w:pPr>
        <w:ind w:left="1488" w:hanging="1128"/>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6156E"/>
    <w:multiLevelType w:val="hybridMultilevel"/>
    <w:tmpl w:val="B86CA7C8"/>
    <w:lvl w:ilvl="0" w:tplc="58FAC554">
      <w:start w:val="1"/>
      <w:numFmt w:val="lowerLetter"/>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91F45"/>
    <w:multiLevelType w:val="hybridMultilevel"/>
    <w:tmpl w:val="68AADB72"/>
    <w:lvl w:ilvl="0" w:tplc="0409000F">
      <w:start w:val="1"/>
      <w:numFmt w:val="decimal"/>
      <w:lvlText w:val="%1."/>
      <w:lvlJc w:val="left"/>
      <w:pPr>
        <w:ind w:left="1211" w:hanging="360"/>
      </w:pPr>
    </w:lvl>
    <w:lvl w:ilvl="1" w:tplc="4FF02046">
      <w:start w:val="1"/>
      <w:numFmt w:val="decimal"/>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64858"/>
    <w:multiLevelType w:val="hybridMultilevel"/>
    <w:tmpl w:val="6D5AA052"/>
    <w:lvl w:ilvl="0" w:tplc="613CADEA">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868FA"/>
    <w:multiLevelType w:val="hybridMultilevel"/>
    <w:tmpl w:val="F774B0B6"/>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23218"/>
    <w:multiLevelType w:val="hybridMultilevel"/>
    <w:tmpl w:val="9AD44BEE"/>
    <w:lvl w:ilvl="0" w:tplc="BAEA3812">
      <w:start w:val="1"/>
      <w:numFmt w:val="decimal"/>
      <w:lvlText w:val="%1)"/>
      <w:lvlJc w:val="left"/>
      <w:pPr>
        <w:ind w:left="1850" w:hanging="432"/>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3BB0140E"/>
    <w:multiLevelType w:val="hybridMultilevel"/>
    <w:tmpl w:val="3C282BDA"/>
    <w:lvl w:ilvl="0" w:tplc="81AE88D0">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92667"/>
    <w:multiLevelType w:val="hybridMultilevel"/>
    <w:tmpl w:val="DFE289A4"/>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F6D87"/>
    <w:multiLevelType w:val="hybridMultilevel"/>
    <w:tmpl w:val="5A2A77AA"/>
    <w:lvl w:ilvl="0" w:tplc="81AE88D0">
      <w:start w:val="1"/>
      <w:numFmt w:val="lowerLetter"/>
      <w:lvlText w:val="%1)"/>
      <w:lvlJc w:val="left"/>
      <w:pPr>
        <w:ind w:left="440" w:hanging="44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9857B33"/>
    <w:multiLevelType w:val="hybridMultilevel"/>
    <w:tmpl w:val="6712887E"/>
    <w:lvl w:ilvl="0" w:tplc="80A24B88">
      <w:start w:val="1"/>
      <w:numFmt w:val="lowerLetter"/>
      <w:lvlText w:val="%1)"/>
      <w:lvlJc w:val="left"/>
      <w:pPr>
        <w:ind w:left="440" w:hanging="440"/>
      </w:pPr>
      <w:rPr>
        <w:rFonts w:hint="default"/>
        <w:i/>
        <w:i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9CD69B0"/>
    <w:multiLevelType w:val="hybridMultilevel"/>
    <w:tmpl w:val="B1F46012"/>
    <w:lvl w:ilvl="0" w:tplc="81AE88D0">
      <w:start w:val="1"/>
      <w:numFmt w:val="lowerLetter"/>
      <w:lvlText w:val="%1)"/>
      <w:lvlJc w:val="left"/>
      <w:pPr>
        <w:ind w:left="440" w:hanging="44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8807F0"/>
    <w:multiLevelType w:val="hybridMultilevel"/>
    <w:tmpl w:val="69602744"/>
    <w:lvl w:ilvl="0" w:tplc="B8C632BC">
      <w:start w:val="1"/>
      <w:numFmt w:val="lowerLetter"/>
      <w:lvlText w:val="%1)"/>
      <w:lvlJc w:val="left"/>
      <w:pPr>
        <w:ind w:left="360" w:hanging="360"/>
      </w:pPr>
      <w:rPr>
        <w:rFonts w:ascii="TimesNewRomanPS" w:hAnsi="TimesNewRomanP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54571422">
    <w:abstractNumId w:val="0"/>
  </w:num>
  <w:num w:numId="2" w16cid:durableId="260459704">
    <w:abstractNumId w:val="9"/>
  </w:num>
  <w:num w:numId="3" w16cid:durableId="1574776045">
    <w:abstractNumId w:val="8"/>
  </w:num>
  <w:num w:numId="4" w16cid:durableId="1121222097">
    <w:abstractNumId w:val="2"/>
  </w:num>
  <w:num w:numId="5" w16cid:durableId="1020886607">
    <w:abstractNumId w:val="6"/>
  </w:num>
  <w:num w:numId="6" w16cid:durableId="371685391">
    <w:abstractNumId w:val="5"/>
  </w:num>
  <w:num w:numId="7" w16cid:durableId="744574504">
    <w:abstractNumId w:val="3"/>
  </w:num>
  <w:num w:numId="8" w16cid:durableId="635110012">
    <w:abstractNumId w:val="4"/>
  </w:num>
  <w:num w:numId="9" w16cid:durableId="407776422">
    <w:abstractNumId w:val="7"/>
  </w:num>
  <w:num w:numId="10" w16cid:durableId="1127117224">
    <w:abstractNumId w:val="13"/>
  </w:num>
  <w:num w:numId="11" w16cid:durableId="1193112305">
    <w:abstractNumId w:val="11"/>
  </w:num>
  <w:num w:numId="12" w16cid:durableId="2014604010">
    <w:abstractNumId w:val="12"/>
  </w:num>
  <w:num w:numId="13" w16cid:durableId="2109085153">
    <w:abstractNumId w:val="1"/>
  </w:num>
  <w:num w:numId="14" w16cid:durableId="1808351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84"/>
    <w:rsid w:val="00061524"/>
    <w:rsid w:val="00095C10"/>
    <w:rsid w:val="000A43AE"/>
    <w:rsid w:val="000B1C9C"/>
    <w:rsid w:val="000F58C1"/>
    <w:rsid w:val="00127C67"/>
    <w:rsid w:val="001824F2"/>
    <w:rsid w:val="001A0C2B"/>
    <w:rsid w:val="001C5D10"/>
    <w:rsid w:val="001E514F"/>
    <w:rsid w:val="00215C2F"/>
    <w:rsid w:val="002936C7"/>
    <w:rsid w:val="002A035F"/>
    <w:rsid w:val="002A2D39"/>
    <w:rsid w:val="002B45FA"/>
    <w:rsid w:val="00366D0D"/>
    <w:rsid w:val="004101A8"/>
    <w:rsid w:val="00423240"/>
    <w:rsid w:val="00423B6C"/>
    <w:rsid w:val="00445928"/>
    <w:rsid w:val="00490AA6"/>
    <w:rsid w:val="004940CC"/>
    <w:rsid w:val="004C73AD"/>
    <w:rsid w:val="004E24F8"/>
    <w:rsid w:val="004E5F73"/>
    <w:rsid w:val="0054539D"/>
    <w:rsid w:val="00596ACB"/>
    <w:rsid w:val="005B7984"/>
    <w:rsid w:val="005C1465"/>
    <w:rsid w:val="005C7DD4"/>
    <w:rsid w:val="005F533A"/>
    <w:rsid w:val="00675FB7"/>
    <w:rsid w:val="00682E8C"/>
    <w:rsid w:val="006A656D"/>
    <w:rsid w:val="006E0D58"/>
    <w:rsid w:val="00725758"/>
    <w:rsid w:val="00793AD8"/>
    <w:rsid w:val="007B6F6A"/>
    <w:rsid w:val="0084051F"/>
    <w:rsid w:val="008923C2"/>
    <w:rsid w:val="00892FCF"/>
    <w:rsid w:val="008A3498"/>
    <w:rsid w:val="008B2F9E"/>
    <w:rsid w:val="008F51BF"/>
    <w:rsid w:val="008F618B"/>
    <w:rsid w:val="009113B8"/>
    <w:rsid w:val="0092064F"/>
    <w:rsid w:val="00950379"/>
    <w:rsid w:val="009702E4"/>
    <w:rsid w:val="00A41716"/>
    <w:rsid w:val="00A43112"/>
    <w:rsid w:val="00A63868"/>
    <w:rsid w:val="00A65151"/>
    <w:rsid w:val="00AB1EB1"/>
    <w:rsid w:val="00AF7715"/>
    <w:rsid w:val="00B86062"/>
    <w:rsid w:val="00C61600"/>
    <w:rsid w:val="00C66F7E"/>
    <w:rsid w:val="00CB626F"/>
    <w:rsid w:val="00D10ADB"/>
    <w:rsid w:val="00DC09AC"/>
    <w:rsid w:val="00DD001F"/>
    <w:rsid w:val="00DD083F"/>
    <w:rsid w:val="00E26A31"/>
    <w:rsid w:val="00E47D28"/>
    <w:rsid w:val="00EA76DC"/>
    <w:rsid w:val="00F96CE6"/>
    <w:rsid w:val="00FA34F9"/>
    <w:rsid w:val="00FA5272"/>
    <w:rsid w:val="00FC1CC6"/>
    <w:rsid w:val="00FE26CB"/>
    <w:rsid w:val="055F3634"/>
    <w:rsid w:val="05BAC4CF"/>
    <w:rsid w:val="05EDAC06"/>
    <w:rsid w:val="171FD580"/>
    <w:rsid w:val="1CB9D943"/>
    <w:rsid w:val="3F866222"/>
    <w:rsid w:val="425E1393"/>
    <w:rsid w:val="7AB387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1DC34"/>
  <w15:chartTrackingRefBased/>
  <w15:docId w15:val="{A31269E9-27EE-6849-ADB1-3F92CF32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FA"/>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2B45FA"/>
    <w:pPr>
      <w:keepNext/>
      <w:keepLines/>
      <w:spacing w:before="480" w:after="80"/>
      <w:jc w:val="center"/>
    </w:pPr>
    <w:rPr>
      <w:caps/>
      <w:sz w:val="28"/>
    </w:rPr>
  </w:style>
  <w:style w:type="paragraph" w:customStyle="1" w:styleId="Annextitle">
    <w:name w:val="Annex_title"/>
    <w:basedOn w:val="Normal"/>
    <w:next w:val="Normal"/>
    <w:rsid w:val="002B45FA"/>
    <w:pPr>
      <w:keepNext/>
      <w:keepLines/>
      <w:spacing w:before="240" w:after="280"/>
      <w:jc w:val="center"/>
    </w:pPr>
    <w:rPr>
      <w:rFonts w:ascii="Times New Roman Bold" w:hAnsi="Times New Roman Bold"/>
      <w:b/>
      <w:sz w:val="28"/>
    </w:rPr>
  </w:style>
  <w:style w:type="character" w:customStyle="1" w:styleId="Artref">
    <w:name w:val="Art_ref"/>
    <w:basedOn w:val="DefaultParagraphFont"/>
    <w:rsid w:val="002B45FA"/>
  </w:style>
  <w:style w:type="paragraph" w:customStyle="1" w:styleId="Call">
    <w:name w:val="Call"/>
    <w:basedOn w:val="Normal"/>
    <w:next w:val="Normal"/>
    <w:rsid w:val="002B45FA"/>
    <w:pPr>
      <w:keepNext/>
      <w:keepLines/>
      <w:spacing w:before="160"/>
      <w:ind w:left="1134"/>
    </w:pPr>
    <w:rPr>
      <w:i/>
    </w:rPr>
  </w:style>
  <w:style w:type="paragraph" w:customStyle="1" w:styleId="Normalaftertitle">
    <w:name w:val="Normal after title"/>
    <w:basedOn w:val="Normal"/>
    <w:next w:val="Normal"/>
    <w:link w:val="NormalaftertitleChar"/>
    <w:qFormat/>
    <w:rsid w:val="002B45FA"/>
    <w:pPr>
      <w:spacing w:before="280"/>
    </w:pPr>
  </w:style>
  <w:style w:type="paragraph" w:customStyle="1" w:styleId="Reasons">
    <w:name w:val="Reasons"/>
    <w:basedOn w:val="Normal"/>
    <w:qFormat/>
    <w:rsid w:val="002B45FA"/>
    <w:pPr>
      <w:tabs>
        <w:tab w:val="clear" w:pos="1871"/>
        <w:tab w:val="clear" w:pos="2268"/>
        <w:tab w:val="left" w:pos="1588"/>
        <w:tab w:val="left" w:pos="1985"/>
      </w:tabs>
    </w:pPr>
  </w:style>
  <w:style w:type="paragraph" w:customStyle="1" w:styleId="ResNo">
    <w:name w:val="Res_No"/>
    <w:basedOn w:val="Normal"/>
    <w:next w:val="Normal"/>
    <w:rsid w:val="002B45FA"/>
    <w:pPr>
      <w:keepNext/>
      <w:keepLines/>
      <w:spacing w:before="480"/>
      <w:jc w:val="center"/>
    </w:pPr>
    <w:rPr>
      <w:caps/>
      <w:sz w:val="28"/>
    </w:rPr>
  </w:style>
  <w:style w:type="paragraph" w:customStyle="1" w:styleId="Restitle">
    <w:name w:val="Res_title"/>
    <w:basedOn w:val="Normal"/>
    <w:next w:val="Normal"/>
    <w:rsid w:val="002B45FA"/>
    <w:pPr>
      <w:keepNext/>
      <w:keepLines/>
      <w:spacing w:before="240"/>
      <w:jc w:val="center"/>
    </w:pPr>
    <w:rPr>
      <w:rFonts w:ascii="Times New Roman Bold" w:hAnsi="Times New Roman Bold"/>
      <w:b/>
      <w:sz w:val="28"/>
    </w:rPr>
  </w:style>
  <w:style w:type="character" w:customStyle="1" w:styleId="NormalaftertitleChar">
    <w:name w:val="Normal after title Char"/>
    <w:basedOn w:val="DefaultParagraphFont"/>
    <w:link w:val="Normalaftertitle"/>
    <w:qFormat/>
    <w:locked/>
    <w:rsid w:val="002B45FA"/>
    <w:rPr>
      <w:rFonts w:ascii="Times New Roman" w:eastAsia="Times New Roman" w:hAnsi="Times New Roman" w:cs="Times New Roman"/>
      <w:kern w:val="0"/>
      <w:szCs w:val="20"/>
      <w:lang w:val="en-GB"/>
      <w14:ligatures w14:val="none"/>
    </w:rPr>
  </w:style>
  <w:style w:type="paragraph" w:styleId="Revision">
    <w:name w:val="Revision"/>
    <w:hidden/>
    <w:uiPriority w:val="99"/>
    <w:semiHidden/>
    <w:rsid w:val="002B45FA"/>
    <w:rPr>
      <w:rFonts w:ascii="Times New Roman" w:eastAsia="Times New Roman" w:hAnsi="Times New Roman" w:cs="Times New Roman"/>
      <w:kern w:val="0"/>
      <w:szCs w:val="20"/>
      <w:lang w:val="en-GB"/>
      <w14:ligatures w14:val="none"/>
    </w:rPr>
  </w:style>
  <w:style w:type="character" w:customStyle="1" w:styleId="ListParagraphChar">
    <w:name w:val="List Paragraph Char"/>
    <w:basedOn w:val="DefaultParagraphFont"/>
    <w:link w:val="ListParagraph"/>
    <w:uiPriority w:val="34"/>
    <w:qFormat/>
    <w:locked/>
    <w:rsid w:val="007B6F6A"/>
    <w:rPr>
      <w:rFonts w:ascii="Times New Roman" w:eastAsia="BatangChe" w:hAnsi="Times New Roman"/>
    </w:rPr>
  </w:style>
  <w:style w:type="paragraph" w:styleId="ListParagraph">
    <w:name w:val="List Paragraph"/>
    <w:basedOn w:val="Normal"/>
    <w:link w:val="ListParagraphChar"/>
    <w:uiPriority w:val="34"/>
    <w:qFormat/>
    <w:rsid w:val="007B6F6A"/>
    <w:pPr>
      <w:tabs>
        <w:tab w:val="clear" w:pos="1134"/>
        <w:tab w:val="clear" w:pos="1871"/>
        <w:tab w:val="clear" w:pos="2268"/>
      </w:tabs>
      <w:overflowPunct/>
      <w:autoSpaceDE/>
      <w:autoSpaceDN/>
      <w:adjustRightInd/>
      <w:spacing w:before="0"/>
      <w:ind w:left="720"/>
      <w:textAlignment w:val="auto"/>
    </w:pPr>
    <w:rPr>
      <w:rFonts w:eastAsia="BatangChe" w:cstheme="minorBidi"/>
      <w:kern w:val="2"/>
      <w:szCs w:val="24"/>
      <w14:ligatures w14:val="standardContextual"/>
    </w:rPr>
  </w:style>
  <w:style w:type="paragraph" w:customStyle="1" w:styleId="enumlev1">
    <w:name w:val="enumlev1"/>
    <w:basedOn w:val="Normal"/>
    <w:link w:val="enumlev1Char"/>
    <w:qFormat/>
    <w:rsid w:val="00423240"/>
    <w:pPr>
      <w:tabs>
        <w:tab w:val="clear" w:pos="2268"/>
        <w:tab w:val="left" w:pos="2608"/>
        <w:tab w:val="left" w:pos="3345"/>
      </w:tabs>
      <w:spacing w:before="80"/>
      <w:ind w:left="1134" w:hanging="1134"/>
    </w:pPr>
    <w:rPr>
      <w:rFonts w:eastAsia="宋体"/>
    </w:rPr>
  </w:style>
  <w:style w:type="character" w:customStyle="1" w:styleId="enumlev1Char">
    <w:name w:val="enumlev1 Char"/>
    <w:basedOn w:val="DefaultParagraphFont"/>
    <w:link w:val="enumlev1"/>
    <w:qFormat/>
    <w:locked/>
    <w:rsid w:val="00423240"/>
    <w:rPr>
      <w:rFonts w:ascii="Times New Roman" w:eastAsia="宋体" w:hAnsi="Times New Roman" w:cs="Times New Roman"/>
      <w:kern w:val="0"/>
      <w:szCs w:val="20"/>
      <w:lang w:val="en-GB"/>
      <w14:ligatures w14:val="none"/>
    </w:rPr>
  </w:style>
  <w:style w:type="character" w:styleId="Hyperlink">
    <w:name w:val="Hyperlink"/>
    <w:basedOn w:val="DefaultParagraphFont"/>
    <w:uiPriority w:val="99"/>
    <w:semiHidden/>
    <w:unhideWhenUsed/>
    <w:rsid w:val="00366D0D"/>
    <w:rPr>
      <w:color w:val="0000FF"/>
      <w:u w:val="single"/>
    </w:rPr>
  </w:style>
  <w:style w:type="character" w:styleId="CommentReference">
    <w:name w:val="annotation reference"/>
    <w:basedOn w:val="DefaultParagraphFont"/>
    <w:uiPriority w:val="99"/>
    <w:semiHidden/>
    <w:unhideWhenUsed/>
    <w:rsid w:val="00FA34F9"/>
    <w:rPr>
      <w:sz w:val="16"/>
      <w:szCs w:val="16"/>
    </w:rPr>
  </w:style>
  <w:style w:type="paragraph" w:styleId="CommentText">
    <w:name w:val="annotation text"/>
    <w:basedOn w:val="Normal"/>
    <w:link w:val="CommentTextChar"/>
    <w:uiPriority w:val="99"/>
    <w:semiHidden/>
    <w:unhideWhenUsed/>
    <w:rsid w:val="00FA34F9"/>
    <w:rPr>
      <w:sz w:val="20"/>
    </w:rPr>
  </w:style>
  <w:style w:type="character" w:customStyle="1" w:styleId="CommentTextChar">
    <w:name w:val="Comment Text Char"/>
    <w:basedOn w:val="DefaultParagraphFont"/>
    <w:link w:val="CommentText"/>
    <w:uiPriority w:val="99"/>
    <w:semiHidden/>
    <w:rsid w:val="00FA34F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A34F9"/>
    <w:rPr>
      <w:b/>
      <w:bCs/>
    </w:rPr>
  </w:style>
  <w:style w:type="character" w:customStyle="1" w:styleId="CommentSubjectChar">
    <w:name w:val="Comment Subject Char"/>
    <w:basedOn w:val="CommentTextChar"/>
    <w:link w:val="CommentSubject"/>
    <w:uiPriority w:val="99"/>
    <w:semiHidden/>
    <w:rsid w:val="00FA34F9"/>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FA34F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4F9"/>
    <w:rPr>
      <w:rFonts w:ascii="Segoe UI" w:eastAsia="Times New Roman" w:hAnsi="Segoe UI" w:cs="Segoe UI"/>
      <w:kern w:val="0"/>
      <w:sz w:val="18"/>
      <w:szCs w:val="18"/>
      <w:lang w:val="en-GB"/>
      <w14:ligatures w14:val="none"/>
    </w:rPr>
  </w:style>
  <w:style w:type="paragraph" w:styleId="Header">
    <w:name w:val="header"/>
    <w:basedOn w:val="Normal"/>
    <w:link w:val="HeaderChar"/>
    <w:uiPriority w:val="99"/>
    <w:unhideWhenUsed/>
    <w:rsid w:val="00FA5272"/>
    <w:pPr>
      <w:tabs>
        <w:tab w:val="clear" w:pos="1134"/>
        <w:tab w:val="clear" w:pos="1871"/>
        <w:tab w:val="clear" w:pos="2268"/>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A5272"/>
    <w:rPr>
      <w:rFonts w:ascii="Times New Roman" w:eastAsia="Times New Roman" w:hAnsi="Times New Roman" w:cs="Times New Roman"/>
      <w:kern w:val="0"/>
      <w:sz w:val="18"/>
      <w:szCs w:val="18"/>
      <w:lang w:val="en-GB"/>
      <w14:ligatures w14:val="none"/>
    </w:rPr>
  </w:style>
  <w:style w:type="paragraph" w:styleId="Footer">
    <w:name w:val="footer"/>
    <w:basedOn w:val="Normal"/>
    <w:link w:val="FooterChar"/>
    <w:uiPriority w:val="99"/>
    <w:unhideWhenUsed/>
    <w:rsid w:val="00FA5272"/>
    <w:pPr>
      <w:tabs>
        <w:tab w:val="clear" w:pos="1134"/>
        <w:tab w:val="clear" w:pos="1871"/>
        <w:tab w:val="clear" w:pos="2268"/>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A5272"/>
    <w:rPr>
      <w:rFonts w:ascii="Times New Roman" w:eastAsia="Times New Roman" w:hAnsi="Times New Roman" w:cs="Times New Roman"/>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4DDCE-F449-4093-A5B5-D55B9BF2E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FDBA7-3207-4A78-A2BF-70F5AFD98810}">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52C18F0A-F05F-412A-A82A-E498BA519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786</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Ануар Айдаров</dc:creator>
  <cp:keywords/>
  <dc:description/>
  <cp:lastModifiedBy>Bo Zhang</cp:lastModifiedBy>
  <cp:revision>10</cp:revision>
  <dcterms:created xsi:type="dcterms:W3CDTF">2023-12-05T14:24:00Z</dcterms:created>
  <dcterms:modified xsi:type="dcterms:W3CDTF">2023-12-05T18:40:00Z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0x010100D46830EFC8265E41BE7769D2A1D78982</vt:lpwstr>
  </property>
</Properties>
</file>