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462DA8EE" w14:textId="77777777" w:rsidR="00366956" w:rsidRDefault="00366956" w:rsidP="00366956">
      <w:pPr>
        <w:jc w:val="center"/>
        <w:rPr>
          <w:rFonts w:ascii="Times New Roman" w:hAnsi="Times New Roman" w:cs="Times New Roman"/>
          <w:sz w:val="24"/>
          <w:szCs w:val="24"/>
        </w:rPr>
      </w:pPr>
      <w:r>
        <w:rPr>
          <w:rFonts w:ascii="Times New Roman" w:hAnsi="Times New Roman" w:cs="Times New Roman"/>
          <w:sz w:val="24"/>
          <w:szCs w:val="24"/>
        </w:rPr>
        <w:t>Name and email of the Coordinator:</w:t>
      </w:r>
    </w:p>
    <w:p w14:paraId="60B69C7C" w14:textId="77777777" w:rsidR="00366956" w:rsidRDefault="00366956" w:rsidP="00366956">
      <w:pPr>
        <w:jc w:val="center"/>
        <w:rPr>
          <w:rFonts w:ascii="Times New Roman" w:hAnsi="Times New Roman" w:cs="Times New Roman"/>
          <w:sz w:val="24"/>
          <w:szCs w:val="24"/>
        </w:rPr>
      </w:pPr>
      <w:r>
        <w:rPr>
          <w:rFonts w:ascii="Times New Roman" w:hAnsi="Times New Roman" w:cs="Times New Roman"/>
          <w:sz w:val="24"/>
          <w:szCs w:val="24"/>
        </w:rPr>
        <w:t>Reza Naderi Jahromi (</w:t>
      </w:r>
      <w:hyperlink r:id="rId7" w:history="1">
        <w:r>
          <w:rPr>
            <w:rStyle w:val="Hyperlink"/>
            <w:rFonts w:ascii="Times New Roman" w:hAnsi="Times New Roman" w:cs="Times New Roman"/>
            <w:sz w:val="24"/>
            <w:szCs w:val="24"/>
          </w:rPr>
          <w:t>reza.naderi.j@gmail.com</w:t>
        </w:r>
      </w:hyperlink>
      <w:r>
        <w:rPr>
          <w:rFonts w:ascii="Times New Roman" w:hAnsi="Times New Roman" w:cs="Times New Roman"/>
          <w:sz w:val="24"/>
          <w:szCs w:val="24"/>
          <w:rtl/>
        </w:rPr>
        <w:t>(</w:t>
      </w:r>
    </w:p>
    <w:p w14:paraId="589E1BB5" w14:textId="452AF746" w:rsidR="00366956" w:rsidRDefault="00366956" w:rsidP="00366956">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3E02AE">
        <w:rPr>
          <w:rFonts w:ascii="Times New Roman" w:hAnsi="Times New Roman" w:cs="Times New Roman"/>
          <w:sz w:val="24"/>
          <w:szCs w:val="24"/>
        </w:rPr>
        <w:t>0</w:t>
      </w:r>
      <w:r w:rsidR="001B532B">
        <w:rPr>
          <w:rFonts w:ascii="Times New Roman" w:hAnsi="Times New Roman" w:cs="Times New Roman"/>
          <w:sz w:val="24"/>
          <w:szCs w:val="24"/>
        </w:rPr>
        <w:t>7</w:t>
      </w:r>
      <w:r>
        <w:rPr>
          <w:rFonts w:ascii="Times New Roman" w:hAnsi="Times New Roman" w:cs="Times New Roman"/>
          <w:sz w:val="24"/>
          <w:szCs w:val="24"/>
        </w:rPr>
        <w:t>.</w:t>
      </w:r>
      <w:r w:rsidR="003E02AE">
        <w:rPr>
          <w:rFonts w:ascii="Times New Roman" w:hAnsi="Times New Roman" w:cs="Times New Roman"/>
          <w:sz w:val="24"/>
          <w:szCs w:val="24"/>
        </w:rPr>
        <w:t>12</w:t>
      </w:r>
      <w:r>
        <w:rPr>
          <w:rFonts w:ascii="Times New Roman" w:hAnsi="Times New Roman" w:cs="Times New Roman"/>
          <w:sz w:val="24"/>
          <w:szCs w:val="24"/>
        </w:rPr>
        <w:t>.2023</w:t>
      </w:r>
    </w:p>
    <w:p w14:paraId="17E39891" w14:textId="77777777" w:rsidR="000B5983" w:rsidRPr="00AC461C" w:rsidRDefault="000B5983" w:rsidP="00086F2C">
      <w:pPr>
        <w:rPr>
          <w:rFonts w:ascii="Times New Roman" w:hAnsi="Times New Roman" w:cs="Times New Roman"/>
          <w:sz w:val="24"/>
          <w:szCs w:val="24"/>
        </w:rPr>
      </w:pPr>
    </w:p>
    <w:p w14:paraId="687826B4" w14:textId="77777777" w:rsidR="00366956" w:rsidRDefault="00217FDA" w:rsidP="00217FDA">
      <w:pPr>
        <w:pStyle w:val="ListParagraph"/>
        <w:numPr>
          <w:ilvl w:val="0"/>
          <w:numId w:val="8"/>
        </w:numPr>
        <w:spacing w:line="256" w:lineRule="auto"/>
        <w:ind w:leftChars="0"/>
        <w:rPr>
          <w:rFonts w:ascii="Times New Roman" w:hAnsi="Times New Roman" w:cs="Times New Roman"/>
          <w:sz w:val="24"/>
          <w:szCs w:val="24"/>
        </w:rPr>
      </w:pPr>
      <w:r w:rsidRPr="00217FDA">
        <w:rPr>
          <w:rFonts w:ascii="Times New Roman" w:hAnsi="Times New Roman" w:cs="Times New Roman"/>
          <w:sz w:val="24"/>
          <w:szCs w:val="24"/>
        </w:rPr>
        <w:t>Agenda Item 1.19 (new FSS Allocation in Region 2 in 17.3GHz – 17.7GHz)</w:t>
      </w:r>
    </w:p>
    <w:p w14:paraId="2E3AE5B2" w14:textId="302DCF58" w:rsidR="00217FDA" w:rsidRPr="00217FDA" w:rsidRDefault="00217FDA" w:rsidP="00366956">
      <w:pPr>
        <w:pStyle w:val="ListParagraph"/>
        <w:spacing w:line="256" w:lineRule="auto"/>
        <w:ind w:leftChars="0" w:left="720"/>
        <w:rPr>
          <w:rFonts w:ascii="Times New Roman" w:hAnsi="Times New Roman" w:cs="Times New Roman"/>
          <w:sz w:val="24"/>
          <w:szCs w:val="24"/>
        </w:rPr>
      </w:pPr>
      <w:r w:rsidRPr="00217FDA">
        <w:rPr>
          <w:rFonts w:ascii="Times New Roman" w:hAnsi="Times New Roman" w:cs="Times New Roman"/>
          <w:sz w:val="24"/>
          <w:szCs w:val="24"/>
        </w:rPr>
        <w:t>APT Common Proposal:  </w:t>
      </w:r>
      <w:hyperlink r:id="rId8" w:history="1">
        <w:r w:rsidRPr="00217FDA">
          <w:rPr>
            <w:rStyle w:val="Hyperlink"/>
            <w:rFonts w:ascii="Times New Roman" w:hAnsi="Times New Roman" w:cs="Times New Roman"/>
            <w:sz w:val="24"/>
            <w:szCs w:val="24"/>
          </w:rPr>
          <w:t>Doc. WRC-23/62 (Add.19)</w:t>
        </w:r>
      </w:hyperlink>
      <w:r w:rsidRPr="00217FDA">
        <w:rPr>
          <w:rFonts w:ascii="Times New Roman" w:hAnsi="Times New Roman" w:cs="Times New Roman"/>
          <w:sz w:val="24"/>
          <w:szCs w:val="24"/>
        </w:rPr>
        <w:t xml:space="preserve"> </w:t>
      </w:r>
    </w:p>
    <w:p w14:paraId="33783930" w14:textId="68084231" w:rsidR="004D7CC0" w:rsidRDefault="00EA1B34" w:rsidP="001B532B">
      <w:pPr>
        <w:pStyle w:val="ListParagraph"/>
        <w:numPr>
          <w:ilvl w:val="0"/>
          <w:numId w:val="8"/>
        </w:numPr>
        <w:spacing w:line="256" w:lineRule="auto"/>
        <w:ind w:leftChars="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24289309" w14:textId="09643784" w:rsidR="00407A6E" w:rsidRPr="00891CFD" w:rsidRDefault="00407A6E" w:rsidP="00891CFD">
      <w:pPr>
        <w:pStyle w:val="ListParagraph"/>
        <w:numPr>
          <w:ilvl w:val="0"/>
          <w:numId w:val="19"/>
        </w:numPr>
        <w:spacing w:line="256" w:lineRule="auto"/>
        <w:ind w:leftChars="0"/>
        <w:rPr>
          <w:rFonts w:ascii="Times New Roman" w:hAnsi="Times New Roman" w:cs="Times New Roman"/>
          <w:sz w:val="24"/>
          <w:szCs w:val="24"/>
        </w:rPr>
      </w:pPr>
      <w:r w:rsidRPr="00891CFD">
        <w:rPr>
          <w:rFonts w:ascii="Times New Roman" w:hAnsi="Times New Roman" w:cs="Times New Roman"/>
          <w:sz w:val="24"/>
          <w:szCs w:val="24"/>
        </w:rPr>
        <w:t xml:space="preserve">A suggested PFD hard limit, </w:t>
      </w:r>
      <w:r w:rsidR="00891CFD" w:rsidRPr="00891CFD">
        <w:rPr>
          <w:rFonts w:ascii="Times New Roman" w:hAnsi="Times New Roman" w:cs="Times New Roman"/>
          <w:sz w:val="24"/>
          <w:szCs w:val="24"/>
        </w:rPr>
        <w:t xml:space="preserve">in addition to </w:t>
      </w:r>
      <w:r w:rsidRPr="00891CFD">
        <w:rPr>
          <w:rFonts w:ascii="Times New Roman" w:hAnsi="Times New Roman" w:cs="Times New Roman"/>
          <w:sz w:val="24"/>
          <w:szCs w:val="24"/>
        </w:rPr>
        <w:t xml:space="preserve">the coordination procedure, to be </w:t>
      </w:r>
      <w:r w:rsidR="00891CFD" w:rsidRPr="00891CFD">
        <w:rPr>
          <w:rFonts w:ascii="Times New Roman" w:hAnsi="Times New Roman" w:cs="Times New Roman"/>
          <w:sz w:val="24"/>
          <w:szCs w:val="24"/>
        </w:rPr>
        <w:t xml:space="preserve">applied </w:t>
      </w:r>
      <w:r w:rsidRPr="00891CFD">
        <w:rPr>
          <w:rFonts w:ascii="Times New Roman" w:hAnsi="Times New Roman" w:cs="Times New Roman"/>
          <w:sz w:val="24"/>
          <w:szCs w:val="24"/>
        </w:rPr>
        <w:t xml:space="preserve">on Region 2 </w:t>
      </w:r>
      <w:r w:rsidR="00891CFD" w:rsidRPr="00891CFD">
        <w:rPr>
          <w:rFonts w:ascii="Times New Roman" w:hAnsi="Times New Roman" w:cs="Times New Roman"/>
          <w:sz w:val="24"/>
          <w:szCs w:val="24"/>
        </w:rPr>
        <w:t xml:space="preserve">new </w:t>
      </w:r>
      <w:r w:rsidRPr="00891CFD">
        <w:rPr>
          <w:rFonts w:ascii="Times New Roman" w:hAnsi="Times New Roman" w:cs="Times New Roman"/>
          <w:sz w:val="24"/>
          <w:szCs w:val="24"/>
        </w:rPr>
        <w:t>FSS downlink in order to safeguard the space station of AP3OA in the GSO arc (</w:t>
      </w:r>
      <w:r w:rsidRPr="00891CFD">
        <w:rPr>
          <w:rFonts w:ascii="Times New Roman" w:hAnsi="Times New Roman" w:cs="Times New Roman"/>
          <w:b/>
          <w:bCs/>
          <w:sz w:val="24"/>
          <w:szCs w:val="24"/>
        </w:rPr>
        <w:t>ATU/ASMG/CHN/IRN</w:t>
      </w:r>
      <w:r w:rsidRPr="00891CFD">
        <w:rPr>
          <w:rFonts w:ascii="Times New Roman" w:hAnsi="Times New Roman" w:cs="Times New Roman"/>
          <w:sz w:val="24"/>
          <w:szCs w:val="24"/>
        </w:rPr>
        <w:t>).</w:t>
      </w:r>
      <w:r w:rsidR="00891CFD" w:rsidRPr="00891CFD">
        <w:rPr>
          <w:rFonts w:ascii="Times New Roman" w:hAnsi="Times New Roman" w:cs="Times New Roman"/>
          <w:sz w:val="24"/>
          <w:szCs w:val="24"/>
        </w:rPr>
        <w:t xml:space="preserve"> </w:t>
      </w:r>
    </w:p>
    <w:p w14:paraId="0B87CF1D" w14:textId="5B0CE0AA" w:rsidR="00EA1B34" w:rsidRDefault="008742F3" w:rsidP="00217FDA">
      <w:pPr>
        <w:pStyle w:val="ListParagraph"/>
        <w:numPr>
          <w:ilvl w:val="0"/>
          <w:numId w:val="8"/>
        </w:numPr>
        <w:spacing w:line="256" w:lineRule="auto"/>
        <w:ind w:leftChars="0"/>
        <w:rPr>
          <w:rFonts w:ascii="Times New Roman" w:hAnsi="Times New Roman" w:cs="Times New Roman"/>
          <w:sz w:val="24"/>
          <w:szCs w:val="24"/>
        </w:rPr>
      </w:pPr>
      <w:r w:rsidRPr="00217FDA">
        <w:rPr>
          <w:rFonts w:ascii="Times New Roman" w:hAnsi="Times New Roman" w:cs="Times New Roman"/>
          <w:sz w:val="24"/>
          <w:szCs w:val="24"/>
        </w:rPr>
        <w:t xml:space="preserve">Progress of discussion during </w:t>
      </w:r>
      <w:r w:rsidR="003346ED" w:rsidRPr="00217FDA">
        <w:rPr>
          <w:rFonts w:ascii="Times New Roman" w:hAnsi="Times New Roman" w:cs="Times New Roman"/>
          <w:sz w:val="24"/>
          <w:szCs w:val="24"/>
        </w:rPr>
        <w:t>WRC-</w:t>
      </w:r>
      <w:r w:rsidR="00550E88" w:rsidRPr="00217FDA">
        <w:rPr>
          <w:rFonts w:ascii="Times New Roman" w:hAnsi="Times New Roman" w:cs="Times New Roman"/>
          <w:sz w:val="24"/>
          <w:szCs w:val="24"/>
        </w:rPr>
        <w:t>23</w:t>
      </w:r>
      <w:r w:rsidR="003346ED" w:rsidRPr="00217FDA">
        <w:rPr>
          <w:rFonts w:ascii="Times New Roman" w:hAnsi="Times New Roman" w:cs="Times New Roman"/>
          <w:sz w:val="24"/>
          <w:szCs w:val="24"/>
        </w:rPr>
        <w:t xml:space="preserve"> </w:t>
      </w:r>
      <w:r w:rsidR="00D1517A" w:rsidRPr="00217FDA">
        <w:rPr>
          <w:rFonts w:ascii="Times New Roman" w:hAnsi="Times New Roman" w:cs="Times New Roman"/>
          <w:sz w:val="24"/>
          <w:szCs w:val="24"/>
        </w:rPr>
        <w:t>on the Agenda Item</w:t>
      </w:r>
    </w:p>
    <w:p w14:paraId="6D77D2F8" w14:textId="33627D4D" w:rsidR="00891CFD" w:rsidRPr="00891CFD" w:rsidRDefault="00891CFD" w:rsidP="00891CFD">
      <w:pPr>
        <w:pStyle w:val="ListParagraph"/>
        <w:numPr>
          <w:ilvl w:val="0"/>
          <w:numId w:val="19"/>
        </w:numPr>
        <w:spacing w:line="256" w:lineRule="auto"/>
        <w:ind w:leftChars="0"/>
      </w:pPr>
      <w:r w:rsidRPr="00891CFD">
        <w:rPr>
          <w:rFonts w:ascii="Times New Roman" w:hAnsi="Times New Roman" w:cs="Times New Roman"/>
          <w:sz w:val="24"/>
          <w:szCs w:val="24"/>
        </w:rPr>
        <w:t>After nine formal meetings at the SWG level, the report</w:t>
      </w:r>
      <w:r>
        <w:rPr>
          <w:rFonts w:ascii="Times New Roman" w:hAnsi="Times New Roman" w:cs="Times New Roman"/>
          <w:sz w:val="24"/>
          <w:szCs w:val="24"/>
        </w:rPr>
        <w:t xml:space="preserve"> (</w:t>
      </w:r>
      <w:hyperlink r:id="rId9" w:history="1">
        <w:r w:rsidRPr="00891CFD">
          <w:rPr>
            <w:rStyle w:val="Hyperlink"/>
            <w:rFonts w:ascii="Times New Roman" w:hAnsi="Times New Roman" w:cs="Times New Roman"/>
            <w:sz w:val="24"/>
            <w:szCs w:val="24"/>
          </w:rPr>
          <w:t>TD-0092</w:t>
        </w:r>
      </w:hyperlink>
      <w:r>
        <w:rPr>
          <w:rFonts w:ascii="Times New Roman" w:hAnsi="Times New Roman" w:cs="Times New Roman"/>
          <w:sz w:val="24"/>
          <w:szCs w:val="24"/>
        </w:rPr>
        <w:t>)</w:t>
      </w:r>
      <w:r w:rsidRPr="00891CFD">
        <w:rPr>
          <w:rFonts w:ascii="Times New Roman" w:hAnsi="Times New Roman" w:cs="Times New Roman"/>
          <w:sz w:val="24"/>
          <w:szCs w:val="24"/>
        </w:rPr>
        <w:t xml:space="preserve"> from Sub-Working Group 5B5 on agenda item 1.19 was presented to Working Group 5B on December 6, 2023, featuring two options and several unresolved issues.</w:t>
      </w:r>
    </w:p>
    <w:p w14:paraId="2158996E" w14:textId="622CD86E" w:rsidR="00283184" w:rsidRPr="00A76363" w:rsidRDefault="008742F3" w:rsidP="00283184">
      <w:pPr>
        <w:pStyle w:val="ListParagraph"/>
        <w:numPr>
          <w:ilvl w:val="0"/>
          <w:numId w:val="8"/>
        </w:numPr>
        <w:spacing w:line="256" w:lineRule="auto"/>
        <w:ind w:leftChars="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r w:rsidR="00B71D83">
        <w:rPr>
          <w:rFonts w:ascii="Times New Roman" w:hAnsi="Times New Roman" w:cs="Times New Roman"/>
          <w:sz w:val="24"/>
          <w:szCs w:val="24"/>
        </w:rPr>
        <w:t>.</w:t>
      </w:r>
    </w:p>
    <w:p w14:paraId="3B28A9C2" w14:textId="2DF03397" w:rsidR="00AD63ED" w:rsidRPr="00891CFD" w:rsidRDefault="005C14FA" w:rsidP="006500FC">
      <w:pPr>
        <w:pStyle w:val="ListParagraph"/>
        <w:numPr>
          <w:ilvl w:val="1"/>
          <w:numId w:val="8"/>
        </w:numPr>
        <w:spacing w:line="256" w:lineRule="auto"/>
        <w:ind w:leftChars="0"/>
        <w:rPr>
          <w:rFonts w:ascii="Times New Roman" w:hAnsi="Times New Roman" w:cs="Times New Roman"/>
          <w:sz w:val="24"/>
          <w:szCs w:val="24"/>
        </w:rPr>
      </w:pPr>
      <w:r w:rsidRPr="00891CFD">
        <w:rPr>
          <w:rFonts w:ascii="Times New Roman" w:hAnsi="Times New Roman" w:cs="Times New Roman"/>
          <w:sz w:val="24"/>
          <w:szCs w:val="24"/>
        </w:rPr>
        <w:t xml:space="preserve">Take </w:t>
      </w:r>
      <w:r w:rsidR="00F77230" w:rsidRPr="00891CFD">
        <w:rPr>
          <w:rFonts w:ascii="Times New Roman" w:hAnsi="Times New Roman" w:cs="Times New Roman"/>
          <w:sz w:val="24"/>
          <w:szCs w:val="24"/>
        </w:rPr>
        <w:t xml:space="preserve">APT Position on the </w:t>
      </w:r>
      <w:r w:rsidRPr="00891CFD">
        <w:rPr>
          <w:rFonts w:ascii="Times New Roman" w:hAnsi="Times New Roman" w:cs="Times New Roman"/>
          <w:sz w:val="24"/>
          <w:szCs w:val="24"/>
        </w:rPr>
        <w:t>current two options</w:t>
      </w:r>
    </w:p>
    <w:p w14:paraId="5F305E6D" w14:textId="49F14EE3" w:rsidR="005C14FA" w:rsidRPr="00891CFD" w:rsidRDefault="005C14FA" w:rsidP="006500FC">
      <w:pPr>
        <w:pStyle w:val="ListParagraph"/>
        <w:numPr>
          <w:ilvl w:val="0"/>
          <w:numId w:val="16"/>
        </w:numPr>
        <w:spacing w:line="256" w:lineRule="auto"/>
        <w:ind w:leftChars="0" w:left="1170"/>
        <w:rPr>
          <w:rFonts w:ascii="Times New Roman" w:hAnsi="Times New Roman" w:cs="Times New Roman"/>
          <w:sz w:val="24"/>
          <w:szCs w:val="24"/>
        </w:rPr>
      </w:pPr>
      <w:r w:rsidRPr="00891CFD">
        <w:rPr>
          <w:rFonts w:ascii="Times New Roman" w:hAnsi="Times New Roman" w:cs="Times New Roman"/>
          <w:sz w:val="24"/>
          <w:szCs w:val="24"/>
        </w:rPr>
        <w:t>Option 1</w:t>
      </w:r>
      <w:r w:rsidR="006500FC" w:rsidRPr="00891CFD">
        <w:rPr>
          <w:rFonts w:ascii="Times New Roman" w:hAnsi="Times New Roman" w:cs="Times New Roman"/>
          <w:sz w:val="24"/>
          <w:szCs w:val="24"/>
        </w:rPr>
        <w:t xml:space="preserve"> which</w:t>
      </w:r>
      <w:r w:rsidRPr="00891CFD">
        <w:rPr>
          <w:rFonts w:ascii="Times New Roman" w:hAnsi="Times New Roman" w:cs="Times New Roman"/>
          <w:sz w:val="24"/>
          <w:szCs w:val="24"/>
        </w:rPr>
        <w:t xml:space="preserve"> is based on </w:t>
      </w:r>
      <w:r w:rsidRPr="00891CFD">
        <w:rPr>
          <w:rFonts w:ascii="Times New Roman" w:hAnsi="Times New Roman" w:cs="Times New Roman"/>
          <w:b/>
          <w:bCs/>
          <w:sz w:val="24"/>
          <w:szCs w:val="24"/>
        </w:rPr>
        <w:t>both GSO and non GSO</w:t>
      </w:r>
      <w:r w:rsidRPr="00891CFD">
        <w:rPr>
          <w:rFonts w:ascii="Times New Roman" w:hAnsi="Times New Roman" w:cs="Times New Roman"/>
          <w:sz w:val="24"/>
          <w:szCs w:val="24"/>
        </w:rPr>
        <w:t xml:space="preserve"> and have several open issues. (</w:t>
      </w:r>
      <w:r w:rsidRPr="00891CFD">
        <w:rPr>
          <w:rFonts w:ascii="Times New Roman" w:hAnsi="Times New Roman" w:cs="Times New Roman"/>
          <w:b/>
          <w:bCs/>
          <w:sz w:val="24"/>
          <w:szCs w:val="24"/>
        </w:rPr>
        <w:t>CITEL and CEPT</w:t>
      </w:r>
      <w:r w:rsidRPr="00891CFD">
        <w:rPr>
          <w:rFonts w:ascii="Times New Roman" w:hAnsi="Times New Roman" w:cs="Times New Roman"/>
          <w:sz w:val="24"/>
          <w:szCs w:val="24"/>
        </w:rPr>
        <w:t>)</w:t>
      </w:r>
    </w:p>
    <w:p w14:paraId="5DA354E9" w14:textId="1B622CB1" w:rsidR="005C14FA" w:rsidRPr="00891CFD" w:rsidRDefault="005C14FA" w:rsidP="006500FC">
      <w:pPr>
        <w:pStyle w:val="ListParagraph"/>
        <w:numPr>
          <w:ilvl w:val="0"/>
          <w:numId w:val="16"/>
        </w:numPr>
        <w:spacing w:line="256" w:lineRule="auto"/>
        <w:ind w:leftChars="0" w:left="1170"/>
        <w:rPr>
          <w:rFonts w:ascii="Times New Roman" w:hAnsi="Times New Roman" w:cs="Times New Roman"/>
          <w:sz w:val="24"/>
          <w:szCs w:val="24"/>
        </w:rPr>
      </w:pPr>
      <w:r w:rsidRPr="00891CFD">
        <w:rPr>
          <w:rFonts w:ascii="Times New Roman" w:hAnsi="Times New Roman" w:cs="Times New Roman"/>
          <w:sz w:val="24"/>
          <w:szCs w:val="24"/>
        </w:rPr>
        <w:t>Option 2</w:t>
      </w:r>
      <w:r w:rsidR="006500FC" w:rsidRPr="00891CFD">
        <w:rPr>
          <w:rFonts w:ascii="Times New Roman" w:hAnsi="Times New Roman" w:cs="Times New Roman"/>
          <w:sz w:val="24"/>
          <w:szCs w:val="24"/>
        </w:rPr>
        <w:t xml:space="preserve"> which</w:t>
      </w:r>
      <w:r w:rsidRPr="00891CFD">
        <w:rPr>
          <w:rFonts w:ascii="Times New Roman" w:hAnsi="Times New Roman" w:cs="Times New Roman"/>
          <w:sz w:val="24"/>
          <w:szCs w:val="24"/>
        </w:rPr>
        <w:t xml:space="preserve"> is based on </w:t>
      </w:r>
      <w:r w:rsidRPr="00891CFD">
        <w:rPr>
          <w:rFonts w:ascii="Times New Roman" w:hAnsi="Times New Roman" w:cs="Times New Roman"/>
          <w:b/>
          <w:bCs/>
          <w:sz w:val="24"/>
          <w:szCs w:val="24"/>
        </w:rPr>
        <w:t>GSO only</w:t>
      </w:r>
      <w:r w:rsidRPr="00891CFD">
        <w:rPr>
          <w:rFonts w:ascii="Times New Roman" w:hAnsi="Times New Roman" w:cs="Times New Roman"/>
          <w:sz w:val="24"/>
          <w:szCs w:val="24"/>
        </w:rPr>
        <w:t xml:space="preserve"> and has the most similarity with </w:t>
      </w:r>
      <w:r w:rsidR="00891CFD" w:rsidRPr="00891CFD">
        <w:rPr>
          <w:rFonts w:ascii="Times New Roman" w:hAnsi="Times New Roman" w:cs="Times New Roman"/>
          <w:b/>
          <w:bCs/>
          <w:sz w:val="24"/>
          <w:szCs w:val="24"/>
        </w:rPr>
        <w:t>ACP</w:t>
      </w:r>
      <w:r w:rsidRPr="00891CFD">
        <w:rPr>
          <w:rFonts w:ascii="Times New Roman" w:hAnsi="Times New Roman" w:cs="Times New Roman"/>
          <w:sz w:val="24"/>
          <w:szCs w:val="24"/>
        </w:rPr>
        <w:t xml:space="preserve"> </w:t>
      </w:r>
      <w:r w:rsidR="00891CFD" w:rsidRPr="00891CFD">
        <w:rPr>
          <w:rFonts w:ascii="Times New Roman" w:hAnsi="Times New Roman" w:cs="Times New Roman"/>
          <w:sz w:val="24"/>
          <w:szCs w:val="24"/>
        </w:rPr>
        <w:t>(</w:t>
      </w:r>
      <w:r w:rsidR="00891CFD" w:rsidRPr="00891CFD">
        <w:rPr>
          <w:rFonts w:ascii="Times New Roman" w:hAnsi="Times New Roman" w:cs="Times New Roman"/>
          <w:b/>
          <w:bCs/>
          <w:sz w:val="24"/>
          <w:szCs w:val="24"/>
        </w:rPr>
        <w:t xml:space="preserve"> </w:t>
      </w:r>
      <w:r w:rsidRPr="00891CFD">
        <w:rPr>
          <w:rFonts w:ascii="Times New Roman" w:hAnsi="Times New Roman" w:cs="Times New Roman"/>
          <w:b/>
          <w:bCs/>
          <w:sz w:val="24"/>
          <w:szCs w:val="24"/>
        </w:rPr>
        <w:t>RCC, ASMG and ATU</w:t>
      </w:r>
      <w:r w:rsidR="00891CFD" w:rsidRPr="00891CFD">
        <w:rPr>
          <w:rFonts w:ascii="Times New Roman" w:hAnsi="Times New Roman" w:cs="Times New Roman"/>
          <w:sz w:val="24"/>
          <w:szCs w:val="24"/>
        </w:rPr>
        <w:t>)</w:t>
      </w:r>
    </w:p>
    <w:p w14:paraId="01A73B8E" w14:textId="07A4795A" w:rsidR="005C14FA" w:rsidRPr="00891CFD" w:rsidRDefault="005C14FA" w:rsidP="005C14FA">
      <w:pPr>
        <w:pStyle w:val="ListParagraph"/>
        <w:spacing w:line="256" w:lineRule="auto"/>
        <w:ind w:leftChars="0" w:left="720"/>
        <w:rPr>
          <w:rFonts w:ascii="Times New Roman" w:hAnsi="Times New Roman" w:cs="Times New Roman"/>
          <w:sz w:val="24"/>
          <w:szCs w:val="24"/>
        </w:rPr>
      </w:pPr>
    </w:p>
    <w:p w14:paraId="084756D2" w14:textId="77777777" w:rsidR="00407A6E" w:rsidRPr="00891CFD" w:rsidRDefault="00407A6E" w:rsidP="00407A6E">
      <w:pPr>
        <w:pStyle w:val="ListParagraph"/>
        <w:numPr>
          <w:ilvl w:val="1"/>
          <w:numId w:val="8"/>
        </w:numPr>
        <w:spacing w:line="256" w:lineRule="auto"/>
        <w:ind w:leftChars="0"/>
        <w:rPr>
          <w:rFonts w:ascii="Times New Roman" w:hAnsi="Times New Roman" w:cs="Times New Roman"/>
          <w:sz w:val="24"/>
          <w:szCs w:val="24"/>
        </w:rPr>
      </w:pPr>
      <w:r w:rsidRPr="00891CFD">
        <w:rPr>
          <w:rFonts w:ascii="Times New Roman" w:hAnsi="Times New Roman" w:cs="Times New Roman"/>
          <w:sz w:val="24"/>
          <w:szCs w:val="24"/>
        </w:rPr>
        <w:t>Addressing challenging aspects of Option 1</w:t>
      </w:r>
    </w:p>
    <w:p w14:paraId="7D07350C" w14:textId="0E204D6F" w:rsidR="006500FC" w:rsidRPr="00891CFD" w:rsidRDefault="00407A6E" w:rsidP="00891CFD">
      <w:pPr>
        <w:pStyle w:val="ListParagraph"/>
        <w:keepNext/>
        <w:widowControl/>
        <w:numPr>
          <w:ilvl w:val="0"/>
          <w:numId w:val="18"/>
        </w:numPr>
        <w:tabs>
          <w:tab w:val="left" w:pos="1134"/>
          <w:tab w:val="left" w:pos="1871"/>
          <w:tab w:val="left" w:pos="2268"/>
        </w:tabs>
        <w:wordWrap/>
        <w:overflowPunct w:val="0"/>
        <w:adjustRightInd w:val="0"/>
        <w:spacing w:before="240" w:after="0" w:line="240" w:lineRule="auto"/>
        <w:ind w:leftChars="0"/>
        <w:jc w:val="left"/>
        <w:textAlignment w:val="baseline"/>
        <w:rPr>
          <w:rFonts w:ascii="Times New Roman" w:eastAsia="Times New Roman" w:hAnsi="Times New Roman Bold" w:cs="Times New Roman"/>
          <w:bCs/>
          <w:kern w:val="0"/>
          <w:sz w:val="24"/>
          <w:szCs w:val="20"/>
          <w:lang w:val="en-GB" w:eastAsia="en-US"/>
        </w:rPr>
      </w:pPr>
      <w:r w:rsidRPr="00891CFD">
        <w:rPr>
          <w:rFonts w:ascii="Times New Roman" w:eastAsia="Times New Roman" w:hAnsi="Times New Roman Bold" w:cs="Times New Roman"/>
          <w:bCs/>
          <w:kern w:val="0"/>
          <w:sz w:val="24"/>
          <w:szCs w:val="20"/>
          <w:lang w:val="en-GB" w:eastAsia="en-US"/>
        </w:rPr>
        <w:t xml:space="preserve">Applying </w:t>
      </w:r>
      <w:r w:rsidR="006500FC" w:rsidRPr="00891CFD">
        <w:rPr>
          <w:rFonts w:ascii="Times New Roman" w:eastAsia="Times New Roman" w:hAnsi="Times New Roman Bold" w:cs="Times New Roman"/>
          <w:bCs/>
          <w:kern w:val="0"/>
          <w:sz w:val="24"/>
          <w:szCs w:val="20"/>
          <w:lang w:val="en-GB" w:eastAsia="en-US"/>
        </w:rPr>
        <w:t>hard limits,</w:t>
      </w:r>
      <w:r w:rsidRPr="00891CFD">
        <w:rPr>
          <w:rFonts w:ascii="Times New Roman" w:eastAsia="Times New Roman" w:hAnsi="Times New Roman Bold" w:cs="Times New Roman"/>
          <w:bCs/>
          <w:kern w:val="0"/>
          <w:sz w:val="24"/>
          <w:szCs w:val="20"/>
          <w:lang w:val="en-GB" w:eastAsia="en-US"/>
        </w:rPr>
        <w:t xml:space="preserve"> in addition to Coordination triggers</w:t>
      </w:r>
      <w:r w:rsidR="006500FC" w:rsidRPr="00891CFD">
        <w:rPr>
          <w:rFonts w:ascii="Times New Roman" w:eastAsia="Times New Roman" w:hAnsi="Times New Roman Bold" w:cs="Times New Roman"/>
          <w:bCs/>
          <w:kern w:val="0"/>
          <w:sz w:val="24"/>
          <w:szCs w:val="20"/>
          <w:lang w:val="en-GB" w:eastAsia="en-US"/>
        </w:rPr>
        <w:t xml:space="preserve"> and the value</w:t>
      </w:r>
    </w:p>
    <w:p w14:paraId="5D4FA23E" w14:textId="40F9B2E1" w:rsidR="006500FC" w:rsidRPr="006500FC" w:rsidRDefault="006500FC" w:rsidP="00891CFD">
      <w:pPr>
        <w:pStyle w:val="ListParagraph"/>
        <w:keepNext/>
        <w:widowControl/>
        <w:numPr>
          <w:ilvl w:val="0"/>
          <w:numId w:val="18"/>
        </w:numPr>
        <w:tabs>
          <w:tab w:val="left" w:pos="1134"/>
          <w:tab w:val="left" w:pos="1871"/>
          <w:tab w:val="left" w:pos="2268"/>
        </w:tabs>
        <w:wordWrap/>
        <w:overflowPunct w:val="0"/>
        <w:adjustRightInd w:val="0"/>
        <w:spacing w:before="240" w:after="0" w:line="240" w:lineRule="auto"/>
        <w:ind w:leftChars="0"/>
        <w:jc w:val="left"/>
        <w:textAlignment w:val="baseline"/>
        <w:rPr>
          <w:rFonts w:ascii="Times New Roman" w:eastAsia="Times New Roman" w:hAnsi="Times New Roman Bold" w:cs="Times New Roman"/>
          <w:b/>
          <w:kern w:val="0"/>
          <w:sz w:val="24"/>
          <w:szCs w:val="20"/>
          <w:lang w:val="en-GB" w:eastAsia="en-US"/>
        </w:rPr>
      </w:pPr>
      <w:r w:rsidRPr="006500FC">
        <w:rPr>
          <w:rFonts w:ascii="Times New Roman" w:eastAsia="Times New Roman" w:hAnsi="Times New Roman Bold" w:cs="Times New Roman"/>
          <w:b/>
          <w:kern w:val="0"/>
          <w:sz w:val="24"/>
          <w:szCs w:val="20"/>
          <w:lang w:val="en-GB" w:eastAsia="en-US"/>
        </w:rPr>
        <w:t>ADD</w:t>
      </w:r>
      <w:r w:rsidRPr="006500FC">
        <w:rPr>
          <w:rFonts w:ascii="Times New Roman" w:eastAsia="Times New Roman" w:hAnsi="Times New Roman Bold" w:cs="Times New Roman"/>
          <w:b/>
          <w:kern w:val="0"/>
          <w:sz w:val="24"/>
          <w:szCs w:val="20"/>
          <w:lang w:val="en-GB" w:eastAsia="en-US"/>
        </w:rPr>
        <w:tab/>
        <w:t>SWG5B5/</w:t>
      </w:r>
      <w:r w:rsidRPr="006500FC">
        <w:rPr>
          <w:rFonts w:ascii="Times New Roman" w:eastAsia="Times New Roman" w:hAnsi="Times New Roman Bold" w:cs="Times New Roman"/>
          <w:bCs/>
          <w:kern w:val="0"/>
          <w:sz w:val="24"/>
          <w:szCs w:val="20"/>
          <w:lang w:val="en-GB" w:eastAsia="en-US"/>
        </w:rPr>
        <w:t>92</w:t>
      </w:r>
      <w:r w:rsidRPr="006500FC">
        <w:rPr>
          <w:rFonts w:ascii="Times New Roman" w:eastAsia="Times New Roman" w:hAnsi="Times New Roman Bold" w:cs="Times New Roman"/>
          <w:b/>
          <w:kern w:val="0"/>
          <w:sz w:val="24"/>
          <w:szCs w:val="20"/>
          <w:lang w:val="en-GB" w:eastAsia="en-US"/>
        </w:rPr>
        <w:t>/3</w:t>
      </w:r>
      <w:r w:rsidRPr="006500FC">
        <w:rPr>
          <w:rFonts w:ascii="Times New Roman" w:eastAsia="Times New Roman" w:hAnsi="Times New Roman Bold" w:cs="Times New Roman"/>
          <w:b/>
          <w:vanish/>
          <w:color w:val="7F7F7F"/>
          <w:kern w:val="0"/>
          <w:sz w:val="24"/>
          <w:szCs w:val="20"/>
          <w:vertAlign w:val="superscript"/>
          <w:lang w:val="en-GB" w:eastAsia="en-US"/>
        </w:rPr>
        <w:t>#2369</w:t>
      </w:r>
      <w:r w:rsidR="008D6BD5">
        <w:rPr>
          <w:rFonts w:ascii="Times New Roman" w:eastAsia="Times New Roman" w:hAnsi="Times New Roman Bold" w:cs="Times New Roman"/>
          <w:b/>
          <w:color w:val="7F7F7F"/>
          <w:kern w:val="0"/>
          <w:sz w:val="24"/>
          <w:szCs w:val="20"/>
          <w:vertAlign w:val="superscript"/>
          <w:lang w:val="en-GB" w:eastAsia="en-US"/>
        </w:rPr>
        <w:t xml:space="preserve">    </w:t>
      </w:r>
      <w:r w:rsidR="008D6BD5" w:rsidRPr="008D6BD5">
        <w:rPr>
          <w:rFonts w:ascii="Times New Roman" w:hAnsi="Times New Roman" w:cs="Times New Roman"/>
          <w:sz w:val="24"/>
          <w:szCs w:val="24"/>
          <w:highlight w:val="yellow"/>
        </w:rPr>
        <w:t>(</w:t>
      </w:r>
      <w:r w:rsidR="008D6BD5" w:rsidRPr="008D6BD5">
        <w:rPr>
          <w:rFonts w:ascii="Times New Roman" w:hAnsi="Times New Roman" w:cs="Times New Roman"/>
          <w:b/>
          <w:bCs/>
          <w:sz w:val="24"/>
          <w:szCs w:val="24"/>
          <w:highlight w:val="yellow"/>
        </w:rPr>
        <w:t>ATU/ASMG/CHN/IRN</w:t>
      </w:r>
      <w:r w:rsidR="008D6BD5" w:rsidRPr="008D6BD5">
        <w:rPr>
          <w:rFonts w:ascii="Times New Roman" w:hAnsi="Times New Roman" w:cs="Times New Roman"/>
          <w:sz w:val="24"/>
          <w:szCs w:val="24"/>
          <w:highlight w:val="yellow"/>
        </w:rPr>
        <w:t>)</w:t>
      </w:r>
    </w:p>
    <w:p w14:paraId="53100208" w14:textId="77777777" w:rsidR="006500FC" w:rsidRPr="006500FC" w:rsidRDefault="006500FC" w:rsidP="006500FC">
      <w:pPr>
        <w:widowControl/>
        <w:tabs>
          <w:tab w:val="left" w:pos="284"/>
          <w:tab w:val="left" w:pos="1134"/>
          <w:tab w:val="left" w:pos="1871"/>
          <w:tab w:val="left" w:pos="2268"/>
        </w:tabs>
        <w:wordWrap/>
        <w:overflowPunct w:val="0"/>
        <w:adjustRightInd w:val="0"/>
        <w:spacing w:before="80" w:after="0" w:line="240" w:lineRule="auto"/>
        <w:ind w:left="720"/>
        <w:textAlignment w:val="baseline"/>
        <w:rPr>
          <w:rFonts w:ascii="Times New Roman" w:eastAsia="Times New Roman" w:hAnsi="Times New Roman" w:cs="Times New Roman"/>
          <w:kern w:val="0"/>
          <w:sz w:val="16"/>
          <w:szCs w:val="16"/>
          <w:lang w:val="en-GB" w:eastAsia="en-US"/>
        </w:rPr>
      </w:pPr>
      <w:r w:rsidRPr="006500FC">
        <w:rPr>
          <w:rFonts w:ascii="Times New Roman" w:eastAsia="Times New Roman" w:hAnsi="Times New Roman" w:cs="Times New Roman"/>
          <w:b/>
          <w:kern w:val="0"/>
          <w:sz w:val="24"/>
          <w:szCs w:val="24"/>
          <w:lang w:val="en-GB" w:eastAsia="en-US"/>
        </w:rPr>
        <w:t>5.A119</w:t>
      </w:r>
      <w:r w:rsidRPr="006500FC">
        <w:rPr>
          <w:rFonts w:ascii="Times New Roman" w:eastAsia="Times New Roman" w:hAnsi="Times New Roman" w:cs="Times New Roman"/>
          <w:b/>
          <w:kern w:val="0"/>
          <w:sz w:val="24"/>
          <w:szCs w:val="24"/>
          <w:lang w:val="en-GB" w:eastAsia="en-US"/>
        </w:rPr>
        <w:tab/>
      </w:r>
      <w:r w:rsidRPr="006500FC">
        <w:rPr>
          <w:rFonts w:ascii="Times New Roman" w:eastAsia="Times New Roman" w:hAnsi="Times New Roman" w:cs="Times New Roman"/>
          <w:kern w:val="0"/>
          <w:sz w:val="24"/>
          <w:szCs w:val="20"/>
          <w:lang w:val="en-GB" w:eastAsia="en-US"/>
        </w:rPr>
        <w:t>In addition to the need to comply with the coordination criteria in Annex 4 of Article 7 of Appendix </w:t>
      </w:r>
      <w:r w:rsidRPr="006500FC">
        <w:rPr>
          <w:rFonts w:ascii="Times New Roman" w:eastAsia="Times New Roman" w:hAnsi="Times New Roman" w:cs="Times New Roman"/>
          <w:b/>
          <w:bCs/>
          <w:kern w:val="0"/>
          <w:sz w:val="24"/>
          <w:szCs w:val="20"/>
          <w:lang w:val="en-GB" w:eastAsia="en-US"/>
        </w:rPr>
        <w:t>30A</w:t>
      </w:r>
      <w:r w:rsidRPr="006500FC">
        <w:rPr>
          <w:rFonts w:ascii="Times New Roman" w:eastAsia="Times New Roman" w:hAnsi="Times New Roman" w:cs="Times New Roman"/>
          <w:kern w:val="0"/>
          <w:sz w:val="24"/>
          <w:szCs w:val="20"/>
          <w:lang w:val="en-GB" w:eastAsia="en-US"/>
        </w:rPr>
        <w:t xml:space="preserve">, under assumed free-space propagation conditions, the power flux-density of </w:t>
      </w:r>
      <w:r w:rsidRPr="006500FC">
        <w:rPr>
          <w:rFonts w:ascii="Times New Roman" w:eastAsia="Times New Roman" w:hAnsi="Times New Roman" w:cs="Times New Roman"/>
          <w:kern w:val="0"/>
          <w:sz w:val="24"/>
          <w:szCs w:val="24"/>
          <w:lang w:val="en-GB" w:eastAsia="ja-JP"/>
        </w:rPr>
        <w:t>an assignment in the fixed</w:t>
      </w:r>
      <w:r w:rsidRPr="006500FC">
        <w:rPr>
          <w:rFonts w:ascii="Times New Roman" w:eastAsia="SimSun" w:hAnsi="Times New Roman" w:cs="Times New Roman"/>
          <w:kern w:val="0"/>
          <w:sz w:val="24"/>
          <w:szCs w:val="28"/>
          <w:lang w:val="en-GB" w:eastAsia="ja-JP"/>
        </w:rPr>
        <w:t>-</w:t>
      </w:r>
      <w:r w:rsidRPr="006500FC">
        <w:rPr>
          <w:rFonts w:ascii="Times New Roman" w:eastAsia="Times New Roman" w:hAnsi="Times New Roman" w:cs="Times New Roman"/>
          <w:kern w:val="0"/>
          <w:sz w:val="24"/>
          <w:szCs w:val="24"/>
          <w:lang w:val="en-GB" w:eastAsia="ja-JP"/>
        </w:rPr>
        <w:t xml:space="preserve">satellite service (space to-Earth) of a GSO network in the frequency band 17.3-17.7 GHz in Region 2 </w:t>
      </w:r>
      <w:r w:rsidRPr="006500FC">
        <w:rPr>
          <w:rFonts w:ascii="Times New Roman" w:eastAsia="Times New Roman" w:hAnsi="Times New Roman" w:cs="Times New Roman"/>
          <w:kern w:val="0"/>
          <w:sz w:val="24"/>
          <w:szCs w:val="20"/>
          <w:lang w:val="en-GB" w:eastAsia="en-US"/>
        </w:rPr>
        <w:t xml:space="preserve">shall not exceed the value of </w:t>
      </w:r>
      <w:r w:rsidRPr="006500FC">
        <w:rPr>
          <w:rFonts w:ascii="Times New Roman" w:eastAsia="Times New Roman" w:hAnsi="Times New Roman" w:cs="Times New Roman"/>
          <w:kern w:val="0"/>
          <w:sz w:val="24"/>
          <w:szCs w:val="20"/>
          <w:highlight w:val="yellow"/>
          <w:lang w:val="en-GB" w:eastAsia="en-US"/>
        </w:rPr>
        <w:t>−147</w:t>
      </w:r>
      <w:r w:rsidRPr="006500FC">
        <w:rPr>
          <w:rFonts w:ascii="Times New Roman" w:eastAsia="Times New Roman" w:hAnsi="Times New Roman" w:cs="Times New Roman"/>
          <w:kern w:val="0"/>
          <w:sz w:val="24"/>
          <w:szCs w:val="20"/>
          <w:lang w:val="en-GB" w:eastAsia="en-US"/>
        </w:rPr>
        <w:t> dB(W/(m</w:t>
      </w:r>
      <w:r w:rsidRPr="006500FC">
        <w:rPr>
          <w:rFonts w:ascii="Times New Roman" w:eastAsia="Times New Roman" w:hAnsi="Times New Roman" w:cs="Times New Roman"/>
          <w:kern w:val="0"/>
          <w:sz w:val="24"/>
          <w:szCs w:val="20"/>
          <w:vertAlign w:val="superscript"/>
          <w:lang w:val="en-GB" w:eastAsia="en-US"/>
        </w:rPr>
        <w:t>2</w:t>
      </w:r>
      <w:r w:rsidRPr="006500FC">
        <w:rPr>
          <w:rFonts w:ascii="Times New Roman" w:eastAsia="Times New Roman" w:hAnsi="Times New Roman" w:cs="Times New Roman"/>
          <w:kern w:val="0"/>
          <w:sz w:val="24"/>
          <w:szCs w:val="20"/>
          <w:lang w:val="en-GB" w:eastAsia="en-US"/>
        </w:rPr>
        <w:t xml:space="preserve"> · 27 MHz)) / </w:t>
      </w:r>
      <w:r w:rsidRPr="006500FC">
        <w:rPr>
          <w:rFonts w:ascii="Times New Roman" w:eastAsia="Times New Roman" w:hAnsi="Times New Roman" w:cs="Times New Roman"/>
          <w:kern w:val="0"/>
          <w:sz w:val="24"/>
          <w:szCs w:val="20"/>
          <w:highlight w:val="yellow"/>
          <w:lang w:val="en-GB" w:eastAsia="en-US"/>
        </w:rPr>
        <w:t>−76</w:t>
      </w:r>
      <w:r w:rsidRPr="006500FC">
        <w:rPr>
          <w:rFonts w:ascii="Times New Roman" w:eastAsia="Times New Roman" w:hAnsi="Times New Roman" w:cs="Times New Roman"/>
          <w:kern w:val="0"/>
          <w:sz w:val="24"/>
          <w:szCs w:val="20"/>
          <w:lang w:val="en-GB" w:eastAsia="en-US"/>
        </w:rPr>
        <w:t> dB(W/(m</w:t>
      </w:r>
      <w:r w:rsidRPr="006500FC">
        <w:rPr>
          <w:rFonts w:ascii="Times New Roman" w:eastAsia="Times New Roman" w:hAnsi="Times New Roman" w:cs="Times New Roman"/>
          <w:kern w:val="0"/>
          <w:sz w:val="24"/>
          <w:szCs w:val="20"/>
          <w:vertAlign w:val="superscript"/>
          <w:lang w:val="en-GB" w:eastAsia="en-US"/>
        </w:rPr>
        <w:t>2</w:t>
      </w:r>
      <w:r w:rsidRPr="006500FC">
        <w:rPr>
          <w:rFonts w:ascii="Times New Roman" w:eastAsia="Times New Roman" w:hAnsi="Times New Roman" w:cs="Times New Roman"/>
          <w:kern w:val="0"/>
          <w:sz w:val="24"/>
          <w:szCs w:val="20"/>
          <w:lang w:val="en-GB" w:eastAsia="en-US"/>
        </w:rPr>
        <w:t xml:space="preserve"> · 27 MHz)) / </w:t>
      </w:r>
      <w:r w:rsidRPr="006500FC">
        <w:rPr>
          <w:rFonts w:ascii="Times New Roman" w:eastAsia="Times New Roman" w:hAnsi="Times New Roman" w:cs="Times New Roman"/>
          <w:kern w:val="0"/>
          <w:sz w:val="24"/>
          <w:szCs w:val="20"/>
          <w:highlight w:val="yellow"/>
          <w:lang w:val="en-GB" w:eastAsia="en-US"/>
        </w:rPr>
        <w:t>−125</w:t>
      </w:r>
      <w:r w:rsidRPr="006500FC">
        <w:rPr>
          <w:rFonts w:ascii="Times New Roman" w:eastAsia="Times New Roman" w:hAnsi="Times New Roman" w:cs="Times New Roman"/>
          <w:kern w:val="0"/>
          <w:sz w:val="24"/>
          <w:szCs w:val="20"/>
          <w:lang w:val="en-GB" w:eastAsia="en-US"/>
        </w:rPr>
        <w:t> dB(W/(m</w:t>
      </w:r>
      <w:r w:rsidRPr="006500FC">
        <w:rPr>
          <w:rFonts w:ascii="Times New Roman" w:eastAsia="Times New Roman" w:hAnsi="Times New Roman" w:cs="Times New Roman"/>
          <w:kern w:val="0"/>
          <w:sz w:val="24"/>
          <w:szCs w:val="20"/>
          <w:vertAlign w:val="superscript"/>
          <w:lang w:val="en-GB" w:eastAsia="en-US"/>
        </w:rPr>
        <w:t>2</w:t>
      </w:r>
      <w:r w:rsidRPr="006500FC">
        <w:rPr>
          <w:rFonts w:ascii="Times New Roman" w:eastAsia="Times New Roman" w:hAnsi="Times New Roman" w:cs="Times New Roman"/>
          <w:kern w:val="0"/>
          <w:sz w:val="24"/>
          <w:szCs w:val="20"/>
          <w:lang w:val="en-GB" w:eastAsia="en-US"/>
        </w:rPr>
        <w:t> · 27 MHz)) (at the edge of Earth’s surface at a latitude of 0</w:t>
      </w:r>
      <w:r w:rsidRPr="006500FC">
        <w:rPr>
          <w:rFonts w:ascii="Calibri" w:eastAsia="Times New Roman" w:hAnsi="Calibri" w:cs="Calibri"/>
          <w:kern w:val="0"/>
          <w:sz w:val="24"/>
          <w:szCs w:val="20"/>
          <w:lang w:val="en-GB" w:eastAsia="en-US"/>
        </w:rPr>
        <w:t xml:space="preserve">° </w:t>
      </w:r>
      <w:r w:rsidRPr="006500FC">
        <w:rPr>
          <w:rFonts w:ascii="Times New Roman" w:eastAsia="Times New Roman" w:hAnsi="Times New Roman" w:cs="Times New Roman"/>
          <w:kern w:val="0"/>
          <w:sz w:val="24"/>
          <w:szCs w:val="20"/>
          <w:lang w:val="en-GB" w:eastAsia="en-US"/>
        </w:rPr>
        <w:t>/ at any point in the geostationary-satellite orbit).</w:t>
      </w:r>
      <w:r w:rsidRPr="006500FC">
        <w:rPr>
          <w:rFonts w:ascii="Times New Roman" w:eastAsia="Times New Roman" w:hAnsi="Times New Roman" w:cs="Times New Roman"/>
          <w:kern w:val="0"/>
          <w:sz w:val="16"/>
          <w:szCs w:val="16"/>
          <w:lang w:val="en-GB" w:eastAsia="en-US"/>
        </w:rPr>
        <w:t>     (WRC</w:t>
      </w:r>
      <w:r w:rsidRPr="006500FC">
        <w:rPr>
          <w:rFonts w:ascii="Times New Roman" w:eastAsia="Times New Roman" w:hAnsi="Times New Roman" w:cs="Times New Roman"/>
          <w:kern w:val="0"/>
          <w:sz w:val="16"/>
          <w:szCs w:val="16"/>
          <w:lang w:val="en-GB" w:eastAsia="en-US"/>
        </w:rPr>
        <w:noBreakHyphen/>
        <w:t>23)</w:t>
      </w:r>
    </w:p>
    <w:p w14:paraId="71454B52" w14:textId="77777777" w:rsidR="006500FC" w:rsidRPr="006500FC" w:rsidRDefault="006500FC" w:rsidP="006500FC">
      <w:pPr>
        <w:rPr>
          <w:lang w:val="en-GB" w:eastAsia="en-US"/>
        </w:rPr>
      </w:pPr>
    </w:p>
    <w:p w14:paraId="7E973B4D" w14:textId="77777777" w:rsidR="006500FC" w:rsidRPr="006500FC" w:rsidRDefault="006500FC" w:rsidP="006500FC">
      <w:pPr>
        <w:spacing w:line="256" w:lineRule="auto"/>
        <w:ind w:left="720"/>
        <w:rPr>
          <w:rFonts w:ascii="Times New Roman" w:hAnsi="Times New Roman" w:cs="Times New Roman"/>
          <w:b/>
          <w:bCs/>
          <w:sz w:val="24"/>
          <w:szCs w:val="24"/>
          <w:highlight w:val="yellow"/>
        </w:rPr>
      </w:pPr>
    </w:p>
    <w:p w14:paraId="0BFF60C7" w14:textId="7811AC82" w:rsidR="005C14FA" w:rsidRPr="00407A6E" w:rsidRDefault="00407A6E" w:rsidP="00407A6E">
      <w:pPr>
        <w:pStyle w:val="ListParagraph"/>
        <w:keepNext/>
        <w:widowControl/>
        <w:numPr>
          <w:ilvl w:val="0"/>
          <w:numId w:val="18"/>
        </w:numPr>
        <w:tabs>
          <w:tab w:val="left" w:pos="1134"/>
          <w:tab w:val="left" w:pos="1871"/>
          <w:tab w:val="left" w:pos="2268"/>
        </w:tabs>
        <w:wordWrap/>
        <w:overflowPunct w:val="0"/>
        <w:adjustRightInd w:val="0"/>
        <w:spacing w:before="240" w:after="0" w:line="240" w:lineRule="auto"/>
        <w:ind w:leftChars="0"/>
        <w:jc w:val="left"/>
        <w:textAlignment w:val="baseline"/>
        <w:rPr>
          <w:rFonts w:ascii="Times New Roman" w:eastAsia="Times New Roman" w:hAnsi="Times New Roman Bold" w:cs="Times New Roman"/>
          <w:b/>
          <w:kern w:val="0"/>
          <w:sz w:val="24"/>
          <w:szCs w:val="20"/>
          <w:lang w:val="en-GB" w:eastAsia="en-US"/>
        </w:rPr>
      </w:pPr>
      <w:r w:rsidRPr="00891CFD">
        <w:rPr>
          <w:rFonts w:ascii="Times New Roman" w:eastAsia="Times New Roman" w:hAnsi="Times New Roman Bold" w:cs="Times New Roman"/>
          <w:bCs/>
          <w:kern w:val="0"/>
          <w:sz w:val="24"/>
          <w:szCs w:val="20"/>
          <w:lang w:val="en-GB" w:eastAsia="en-US"/>
        </w:rPr>
        <w:lastRenderedPageBreak/>
        <w:t>Requiring explicit agreement concerning AP30A assignments</w:t>
      </w:r>
    </w:p>
    <w:p w14:paraId="34D5D2DC" w14:textId="77777777" w:rsidR="00407A6E" w:rsidRDefault="00407A6E" w:rsidP="00407A6E">
      <w:pPr>
        <w:spacing w:line="256" w:lineRule="auto"/>
        <w:ind w:left="720"/>
        <w:rPr>
          <w:rFonts w:ascii="Times New Roman" w:hAnsi="Times New Roman" w:cs="Times New Roman"/>
          <w:sz w:val="24"/>
          <w:szCs w:val="24"/>
        </w:rPr>
      </w:pPr>
    </w:p>
    <w:p w14:paraId="5DB7BD92" w14:textId="4D7EED4D" w:rsidR="00407A6E" w:rsidRPr="00407A6E" w:rsidRDefault="00407A6E" w:rsidP="00407A6E">
      <w:pPr>
        <w:spacing w:line="256" w:lineRule="auto"/>
        <w:ind w:left="720"/>
        <w:rPr>
          <w:rFonts w:ascii="Times New Roman" w:hAnsi="Times New Roman" w:cs="Times New Roman"/>
          <w:sz w:val="24"/>
          <w:szCs w:val="24"/>
        </w:rPr>
      </w:pPr>
      <w:r w:rsidRPr="00407A6E">
        <w:rPr>
          <w:rFonts w:ascii="Times New Roman" w:hAnsi="Times New Roman" w:cs="Times New Roman"/>
          <w:sz w:val="24"/>
          <w:szCs w:val="24"/>
        </w:rPr>
        <w:t>ADD</w:t>
      </w:r>
      <w:r w:rsidRPr="00407A6E">
        <w:rPr>
          <w:rFonts w:ascii="Times New Roman" w:hAnsi="Times New Roman" w:cs="Times New Roman"/>
          <w:sz w:val="24"/>
          <w:szCs w:val="24"/>
        </w:rPr>
        <w:tab/>
        <w:t>SWG5B5/92/14</w:t>
      </w:r>
      <w:r w:rsidR="008D6BD5">
        <w:rPr>
          <w:rFonts w:ascii="Times New Roman" w:hAnsi="Times New Roman" w:cs="Times New Roman"/>
          <w:sz w:val="24"/>
          <w:szCs w:val="24"/>
        </w:rPr>
        <w:t xml:space="preserve">  </w:t>
      </w:r>
      <w:r w:rsidR="008D6BD5" w:rsidRPr="008D6BD5">
        <w:rPr>
          <w:rFonts w:ascii="Times New Roman" w:hAnsi="Times New Roman" w:cs="Times New Roman"/>
          <w:sz w:val="24"/>
          <w:szCs w:val="24"/>
          <w:highlight w:val="yellow"/>
        </w:rPr>
        <w:t>(</w:t>
      </w:r>
      <w:r w:rsidR="008D6BD5" w:rsidRPr="008D6BD5">
        <w:rPr>
          <w:rFonts w:ascii="Times New Roman" w:hAnsi="Times New Roman" w:cs="Times New Roman"/>
          <w:b/>
          <w:bCs/>
          <w:sz w:val="24"/>
          <w:szCs w:val="24"/>
          <w:highlight w:val="yellow"/>
        </w:rPr>
        <w:t>ATU/ASMG/CHN/IRN</w:t>
      </w:r>
      <w:r w:rsidR="008D6BD5" w:rsidRPr="008D6BD5">
        <w:rPr>
          <w:rFonts w:ascii="Times New Roman" w:hAnsi="Times New Roman" w:cs="Times New Roman"/>
          <w:sz w:val="24"/>
          <w:szCs w:val="24"/>
          <w:highlight w:val="yellow"/>
        </w:rPr>
        <w:t>)</w:t>
      </w:r>
    </w:p>
    <w:p w14:paraId="14741C61" w14:textId="6CF07243" w:rsidR="00407A6E" w:rsidRPr="00407A6E" w:rsidRDefault="00407A6E" w:rsidP="00407A6E">
      <w:pPr>
        <w:spacing w:line="256" w:lineRule="auto"/>
        <w:ind w:left="720"/>
        <w:rPr>
          <w:rFonts w:ascii="Times New Roman" w:hAnsi="Times New Roman" w:cs="Times New Roman"/>
          <w:sz w:val="24"/>
          <w:szCs w:val="24"/>
        </w:rPr>
      </w:pPr>
      <w:r w:rsidRPr="00407A6E">
        <w:rPr>
          <w:rFonts w:ascii="Times New Roman" w:hAnsi="Times New Roman" w:cs="Times New Roman"/>
          <w:sz w:val="24"/>
          <w:szCs w:val="24"/>
        </w:rPr>
        <w:t>7.2.3</w:t>
      </w:r>
      <w:r w:rsidRPr="00407A6E">
        <w:rPr>
          <w:rFonts w:ascii="Times New Roman" w:hAnsi="Times New Roman" w:cs="Times New Roman"/>
          <w:sz w:val="24"/>
          <w:szCs w:val="24"/>
        </w:rPr>
        <w:tab/>
        <w:t xml:space="preserve">For the fixed-satellite service (space-to-Earth) in the frequency band 17.3-17.7 GHz (in Region 2), the course of action described in Nos. </w:t>
      </w:r>
      <w:r w:rsidRPr="00407A6E">
        <w:rPr>
          <w:rFonts w:ascii="Times New Roman" w:hAnsi="Times New Roman" w:cs="Times New Roman"/>
          <w:sz w:val="24"/>
          <w:szCs w:val="24"/>
          <w:highlight w:val="yellow"/>
        </w:rPr>
        <w:t>9.60 to 9.62</w:t>
      </w:r>
      <w:r w:rsidRPr="00407A6E">
        <w:rPr>
          <w:rFonts w:ascii="Times New Roman" w:hAnsi="Times New Roman" w:cs="Times New Roman"/>
          <w:sz w:val="24"/>
          <w:szCs w:val="24"/>
        </w:rPr>
        <w:t xml:space="preserve"> and the provision No. </w:t>
      </w:r>
      <w:r w:rsidRPr="00407A6E">
        <w:rPr>
          <w:rFonts w:ascii="Times New Roman" w:hAnsi="Times New Roman" w:cs="Times New Roman"/>
          <w:sz w:val="24"/>
          <w:szCs w:val="24"/>
          <w:highlight w:val="yellow"/>
        </w:rPr>
        <w:t>11.41</w:t>
      </w:r>
      <w:r w:rsidRPr="00407A6E">
        <w:rPr>
          <w:rFonts w:ascii="Times New Roman" w:hAnsi="Times New Roman" w:cs="Times New Roman"/>
          <w:sz w:val="24"/>
          <w:szCs w:val="24"/>
        </w:rPr>
        <w:t xml:space="preserve"> do not apply with respect to feeder links of an assignment in the Plan, List or proposed new or modified assignments in the List or an assignment intended to enter in the Regions 1 and 3 Plan.     (WRC 23)</w:t>
      </w:r>
    </w:p>
    <w:sectPr w:rsidR="00407A6E" w:rsidRPr="00407A6E"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B930" w14:textId="77777777" w:rsidR="00133C19" w:rsidRDefault="00133C19" w:rsidP="00D1517A">
      <w:pPr>
        <w:spacing w:after="0" w:line="240" w:lineRule="auto"/>
      </w:pPr>
      <w:r>
        <w:separator/>
      </w:r>
    </w:p>
  </w:endnote>
  <w:endnote w:type="continuationSeparator" w:id="0">
    <w:p w14:paraId="6D3284C8" w14:textId="77777777" w:rsidR="00133C19" w:rsidRDefault="00133C19"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F7B8" w14:textId="77777777" w:rsidR="00133C19" w:rsidRDefault="00133C19" w:rsidP="00D1517A">
      <w:pPr>
        <w:spacing w:after="0" w:line="240" w:lineRule="auto"/>
      </w:pPr>
      <w:r>
        <w:separator/>
      </w:r>
    </w:p>
  </w:footnote>
  <w:footnote w:type="continuationSeparator" w:id="0">
    <w:p w14:paraId="0B63A0FC" w14:textId="77777777" w:rsidR="00133C19" w:rsidRDefault="00133C19"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C2C"/>
    <w:multiLevelType w:val="hybridMultilevel"/>
    <w:tmpl w:val="E4CE6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F7932"/>
    <w:multiLevelType w:val="multilevel"/>
    <w:tmpl w:val="D6E81E6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B361F6"/>
    <w:multiLevelType w:val="hybridMultilevel"/>
    <w:tmpl w:val="B2222EDC"/>
    <w:lvl w:ilvl="0" w:tplc="DABE64CE">
      <w:start w:val="5"/>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EB0BAD"/>
    <w:multiLevelType w:val="hybridMultilevel"/>
    <w:tmpl w:val="D64477B6"/>
    <w:lvl w:ilvl="0" w:tplc="04090017">
      <w:start w:val="1"/>
      <w:numFmt w:val="lowerLetter"/>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E0194C"/>
    <w:multiLevelType w:val="hybridMultilevel"/>
    <w:tmpl w:val="302683AC"/>
    <w:lvl w:ilvl="0" w:tplc="F2EAB2F4">
      <w:start w:val="1"/>
      <w:numFmt w:val="lowerLetter"/>
      <w:lvlText w:val="%1)"/>
      <w:lvlJc w:val="left"/>
      <w:rPr>
        <w:rFonts w:hint="default"/>
        <w:b/>
        <w:bCs/>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5" w15:restartNumberingAfterBreak="0">
    <w:nsid w:val="3ABD21BF"/>
    <w:multiLevelType w:val="hybridMultilevel"/>
    <w:tmpl w:val="2C30A42C"/>
    <w:lvl w:ilvl="0" w:tplc="C26C1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47C4C"/>
    <w:multiLevelType w:val="hybridMultilevel"/>
    <w:tmpl w:val="9B582A34"/>
    <w:lvl w:ilvl="0" w:tplc="04090017">
      <w:start w:val="1"/>
      <w:numFmt w:val="lowerLetter"/>
      <w:lvlText w:val="%1)"/>
      <w:lvlJc w:val="left"/>
      <w:pPr>
        <w:ind w:left="0" w:firstLine="0"/>
      </w:pPr>
    </w:lvl>
    <w:lvl w:ilvl="1" w:tplc="945ADFFA">
      <w:start w:val="1"/>
      <w:numFmt w:val="bullet"/>
      <w:lvlText w:val="-"/>
      <w:lvlJc w:val="left"/>
      <w:pPr>
        <w:ind w:left="1530" w:hanging="360"/>
      </w:pPr>
      <w:rPr>
        <w:rFonts w:ascii="Calibri" w:hAnsi="Calibri" w:cs="Times New Roman"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7" w15:restartNumberingAfterBreak="0">
    <w:nsid w:val="3D3561DB"/>
    <w:multiLevelType w:val="hybridMultilevel"/>
    <w:tmpl w:val="DB12D17E"/>
    <w:lvl w:ilvl="0" w:tplc="FFFFFFFF">
      <w:start w:val="1"/>
      <w:numFmt w:val="lowerLetter"/>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59457B49"/>
    <w:multiLevelType w:val="hybridMultilevel"/>
    <w:tmpl w:val="DB12D17E"/>
    <w:lvl w:ilvl="0" w:tplc="04090017">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5D571B56"/>
    <w:multiLevelType w:val="hybridMultilevel"/>
    <w:tmpl w:val="E312CE56"/>
    <w:lvl w:ilvl="0" w:tplc="DABE64CE">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3613E05"/>
    <w:multiLevelType w:val="hybridMultilevel"/>
    <w:tmpl w:val="18A86E38"/>
    <w:lvl w:ilvl="0" w:tplc="04090017">
      <w:start w:val="1"/>
      <w:numFmt w:val="lowerLetter"/>
      <w:lvlText w:val="%1)"/>
      <w:lvlJc w:val="left"/>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646A05F6"/>
    <w:multiLevelType w:val="hybridMultilevel"/>
    <w:tmpl w:val="35349184"/>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12F10"/>
    <w:multiLevelType w:val="hybridMultilevel"/>
    <w:tmpl w:val="E26CE3C0"/>
    <w:lvl w:ilvl="0" w:tplc="588A06DE">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E4946"/>
    <w:multiLevelType w:val="hybridMultilevel"/>
    <w:tmpl w:val="7E5AA590"/>
    <w:lvl w:ilvl="0" w:tplc="04090017">
      <w:start w:val="1"/>
      <w:numFmt w:val="lowerLetter"/>
      <w:lvlText w:val="%1)"/>
      <w:lvlJc w:val="left"/>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B363317"/>
    <w:multiLevelType w:val="hybridMultilevel"/>
    <w:tmpl w:val="A90EEA20"/>
    <w:lvl w:ilvl="0" w:tplc="6608CDAC">
      <w:start w:val="1"/>
      <w:numFmt w:val="lowerLetter"/>
      <w:lvlText w:val="%1)"/>
      <w:lvlJc w:val="left"/>
      <w:rPr>
        <w:rFonts w:hint="default"/>
        <w:b w:val="0"/>
        <w:bCs w:val="0"/>
        <w:strike w:val="0"/>
      </w:rPr>
    </w:lvl>
    <w:lvl w:ilvl="1" w:tplc="FFFFFFFF" w:tentative="1">
      <w:start w:val="1"/>
      <w:numFmt w:val="upperLetter"/>
      <w:lvlText w:val="%2."/>
      <w:lvlJc w:val="left"/>
      <w:pPr>
        <w:ind w:left="2640" w:hanging="400"/>
      </w:pPr>
    </w:lvl>
    <w:lvl w:ilvl="2" w:tplc="FFFFFFFF" w:tentative="1">
      <w:start w:val="1"/>
      <w:numFmt w:val="lowerRoman"/>
      <w:lvlText w:val="%3."/>
      <w:lvlJc w:val="right"/>
      <w:pPr>
        <w:ind w:left="3040" w:hanging="400"/>
      </w:pPr>
    </w:lvl>
    <w:lvl w:ilvl="3" w:tplc="FFFFFFFF" w:tentative="1">
      <w:start w:val="1"/>
      <w:numFmt w:val="decimal"/>
      <w:lvlText w:val="%4."/>
      <w:lvlJc w:val="left"/>
      <w:pPr>
        <w:ind w:left="3440" w:hanging="400"/>
      </w:pPr>
    </w:lvl>
    <w:lvl w:ilvl="4" w:tplc="FFFFFFFF" w:tentative="1">
      <w:start w:val="1"/>
      <w:numFmt w:val="upperLetter"/>
      <w:lvlText w:val="%5."/>
      <w:lvlJc w:val="left"/>
      <w:pPr>
        <w:ind w:left="3840" w:hanging="400"/>
      </w:pPr>
    </w:lvl>
    <w:lvl w:ilvl="5" w:tplc="FFFFFFFF" w:tentative="1">
      <w:start w:val="1"/>
      <w:numFmt w:val="lowerRoman"/>
      <w:lvlText w:val="%6."/>
      <w:lvlJc w:val="right"/>
      <w:pPr>
        <w:ind w:left="4240" w:hanging="400"/>
      </w:pPr>
    </w:lvl>
    <w:lvl w:ilvl="6" w:tplc="FFFFFFFF" w:tentative="1">
      <w:start w:val="1"/>
      <w:numFmt w:val="decimal"/>
      <w:lvlText w:val="%7."/>
      <w:lvlJc w:val="left"/>
      <w:pPr>
        <w:ind w:left="4640" w:hanging="400"/>
      </w:pPr>
    </w:lvl>
    <w:lvl w:ilvl="7" w:tplc="FFFFFFFF" w:tentative="1">
      <w:start w:val="1"/>
      <w:numFmt w:val="upperLetter"/>
      <w:lvlText w:val="%8."/>
      <w:lvlJc w:val="left"/>
      <w:pPr>
        <w:ind w:left="5040" w:hanging="400"/>
      </w:pPr>
    </w:lvl>
    <w:lvl w:ilvl="8" w:tplc="FFFFFFFF" w:tentative="1">
      <w:start w:val="1"/>
      <w:numFmt w:val="lowerRoman"/>
      <w:lvlText w:val="%9."/>
      <w:lvlJc w:val="right"/>
      <w:pPr>
        <w:ind w:left="5440" w:hanging="400"/>
      </w:pPr>
    </w:lvl>
  </w:abstractNum>
  <w:abstractNum w:abstractNumId="15" w15:restartNumberingAfterBreak="0">
    <w:nsid w:val="77A007BE"/>
    <w:multiLevelType w:val="hybridMultilevel"/>
    <w:tmpl w:val="9392D4B2"/>
    <w:lvl w:ilvl="0" w:tplc="DABE64C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B3664C"/>
    <w:multiLevelType w:val="hybridMultilevel"/>
    <w:tmpl w:val="4C747362"/>
    <w:lvl w:ilvl="0" w:tplc="DABE64CE">
      <w:start w:val="5"/>
      <w:numFmt w:val="bullet"/>
      <w:lvlText w:val="-"/>
      <w:lvlJc w:val="left"/>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14"/>
  </w:num>
  <w:num w:numId="6">
    <w:abstractNumId w:val="7"/>
  </w:num>
  <w:num w:numId="7">
    <w:abstractNumId w:val="5"/>
  </w:num>
  <w:num w:numId="8">
    <w:abstractNumId w:val="1"/>
  </w:num>
  <w:num w:numId="9">
    <w:abstractNumId w:val="4"/>
  </w:num>
  <w:num w:numId="10">
    <w:abstractNumId w:val="11"/>
  </w:num>
  <w:num w:numId="11">
    <w:abstractNumId w:val="10"/>
  </w:num>
  <w:num w:numId="12">
    <w:abstractNumId w:val="15"/>
  </w:num>
  <w:num w:numId="13">
    <w:abstractNumId w:val="16"/>
  </w:num>
  <w:num w:numId="14">
    <w:abstractNumId w:val="0"/>
  </w:num>
  <w:num w:numId="15">
    <w:abstractNumId w:val="13"/>
  </w:num>
  <w:num w:numId="16">
    <w:abstractNumId w:val="9"/>
  </w:num>
  <w:num w:numId="17">
    <w:abstractNumId w:val="2"/>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46330"/>
    <w:rsid w:val="00086F2C"/>
    <w:rsid w:val="000B5983"/>
    <w:rsid w:val="00112B8B"/>
    <w:rsid w:val="00133C19"/>
    <w:rsid w:val="001605F3"/>
    <w:rsid w:val="001A1F17"/>
    <w:rsid w:val="001B532B"/>
    <w:rsid w:val="001D7E88"/>
    <w:rsid w:val="001E0789"/>
    <w:rsid w:val="00217FDA"/>
    <w:rsid w:val="002248D4"/>
    <w:rsid w:val="0024106C"/>
    <w:rsid w:val="00283184"/>
    <w:rsid w:val="00283D24"/>
    <w:rsid w:val="00286B97"/>
    <w:rsid w:val="003346ED"/>
    <w:rsid w:val="00366956"/>
    <w:rsid w:val="00394D8D"/>
    <w:rsid w:val="003E02AE"/>
    <w:rsid w:val="00407A6E"/>
    <w:rsid w:val="004A0E46"/>
    <w:rsid w:val="004A3E94"/>
    <w:rsid w:val="004A574B"/>
    <w:rsid w:val="004D7CC0"/>
    <w:rsid w:val="00550E88"/>
    <w:rsid w:val="005755E6"/>
    <w:rsid w:val="005C14FA"/>
    <w:rsid w:val="005C6572"/>
    <w:rsid w:val="00611DDA"/>
    <w:rsid w:val="006500FC"/>
    <w:rsid w:val="006569A1"/>
    <w:rsid w:val="00672CC4"/>
    <w:rsid w:val="0067372E"/>
    <w:rsid w:val="00677357"/>
    <w:rsid w:val="00683E04"/>
    <w:rsid w:val="007A3642"/>
    <w:rsid w:val="008742F3"/>
    <w:rsid w:val="00891CFD"/>
    <w:rsid w:val="008D0D25"/>
    <w:rsid w:val="008D6BD5"/>
    <w:rsid w:val="009444B7"/>
    <w:rsid w:val="009A6A7F"/>
    <w:rsid w:val="009E10FA"/>
    <w:rsid w:val="009E27EC"/>
    <w:rsid w:val="00A76363"/>
    <w:rsid w:val="00AC461C"/>
    <w:rsid w:val="00AC506F"/>
    <w:rsid w:val="00AD63ED"/>
    <w:rsid w:val="00AE08E2"/>
    <w:rsid w:val="00AF4FDD"/>
    <w:rsid w:val="00B245C2"/>
    <w:rsid w:val="00B348D1"/>
    <w:rsid w:val="00B3579E"/>
    <w:rsid w:val="00B71D83"/>
    <w:rsid w:val="00BB1D78"/>
    <w:rsid w:val="00C750CB"/>
    <w:rsid w:val="00C82B13"/>
    <w:rsid w:val="00CB57F5"/>
    <w:rsid w:val="00CF47B0"/>
    <w:rsid w:val="00D059B6"/>
    <w:rsid w:val="00D1517A"/>
    <w:rsid w:val="00DB0FCE"/>
    <w:rsid w:val="00DF75EF"/>
    <w:rsid w:val="00EA1B34"/>
    <w:rsid w:val="00EC68D5"/>
    <w:rsid w:val="00EF7969"/>
    <w:rsid w:val="00F341CC"/>
    <w:rsid w:val="00F77230"/>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217FDA"/>
    <w:rPr>
      <w:color w:val="0000FF"/>
      <w:u w:val="single"/>
    </w:rPr>
  </w:style>
  <w:style w:type="paragraph" w:customStyle="1" w:styleId="Headingb">
    <w:name w:val="Heading_b"/>
    <w:basedOn w:val="Normal"/>
    <w:next w:val="Normal"/>
    <w:qFormat/>
    <w:rsid w:val="006500FC"/>
    <w:pPr>
      <w:keepNext/>
      <w:widowControl/>
      <w:tabs>
        <w:tab w:val="left" w:pos="1134"/>
        <w:tab w:val="left" w:pos="1871"/>
        <w:tab w:val="left" w:pos="2268"/>
      </w:tabs>
      <w:wordWrap/>
      <w:overflowPunct w:val="0"/>
      <w:adjustRightInd w:val="0"/>
      <w:spacing w:before="160" w:after="0" w:line="240" w:lineRule="auto"/>
      <w:jc w:val="left"/>
      <w:textAlignment w:val="baseline"/>
    </w:pPr>
    <w:rPr>
      <w:rFonts w:ascii="Times New Roman Bold" w:eastAsia="Times New Roman" w:hAnsi="Times New Roman Bold" w:cs="Times New Roman Bold"/>
      <w:b/>
      <w:kern w:val="0"/>
      <w:sz w:val="24"/>
      <w:szCs w:val="20"/>
      <w:lang w:val="fr-CH" w:eastAsia="en-US"/>
    </w:rPr>
  </w:style>
  <w:style w:type="character" w:styleId="UnresolvedMention">
    <w:name w:val="Unresolved Mention"/>
    <w:basedOn w:val="DefaultParagraphFont"/>
    <w:uiPriority w:val="99"/>
    <w:semiHidden/>
    <w:unhideWhenUsed/>
    <w:rsid w:val="0089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5938">
      <w:bodyDiv w:val="1"/>
      <w:marLeft w:val="0"/>
      <w:marRight w:val="0"/>
      <w:marTop w:val="0"/>
      <w:marBottom w:val="0"/>
      <w:divBdr>
        <w:top w:val="none" w:sz="0" w:space="0" w:color="auto"/>
        <w:left w:val="none" w:sz="0" w:space="0" w:color="auto"/>
        <w:bottom w:val="none" w:sz="0" w:space="0" w:color="auto"/>
        <w:right w:val="none" w:sz="0" w:space="0" w:color="auto"/>
      </w:divBdr>
    </w:div>
    <w:div w:id="218979087">
      <w:bodyDiv w:val="1"/>
      <w:marLeft w:val="0"/>
      <w:marRight w:val="0"/>
      <w:marTop w:val="0"/>
      <w:marBottom w:val="0"/>
      <w:divBdr>
        <w:top w:val="none" w:sz="0" w:space="0" w:color="auto"/>
        <w:left w:val="none" w:sz="0" w:space="0" w:color="auto"/>
        <w:bottom w:val="none" w:sz="0" w:space="0" w:color="auto"/>
        <w:right w:val="none" w:sz="0" w:space="0" w:color="auto"/>
      </w:divBdr>
    </w:div>
    <w:div w:id="372001985">
      <w:bodyDiv w:val="1"/>
      <w:marLeft w:val="0"/>
      <w:marRight w:val="0"/>
      <w:marTop w:val="0"/>
      <w:marBottom w:val="0"/>
      <w:divBdr>
        <w:top w:val="none" w:sz="0" w:space="0" w:color="auto"/>
        <w:left w:val="none" w:sz="0" w:space="0" w:color="auto"/>
        <w:bottom w:val="none" w:sz="0" w:space="0" w:color="auto"/>
        <w:right w:val="none" w:sz="0" w:space="0" w:color="auto"/>
      </w:divBdr>
    </w:div>
    <w:div w:id="407845446">
      <w:bodyDiv w:val="1"/>
      <w:marLeft w:val="0"/>
      <w:marRight w:val="0"/>
      <w:marTop w:val="0"/>
      <w:marBottom w:val="0"/>
      <w:divBdr>
        <w:top w:val="none" w:sz="0" w:space="0" w:color="auto"/>
        <w:left w:val="none" w:sz="0" w:space="0" w:color="auto"/>
        <w:bottom w:val="none" w:sz="0" w:space="0" w:color="auto"/>
        <w:right w:val="none" w:sz="0" w:space="0" w:color="auto"/>
      </w:divBdr>
    </w:div>
    <w:div w:id="935482943">
      <w:bodyDiv w:val="1"/>
      <w:marLeft w:val="0"/>
      <w:marRight w:val="0"/>
      <w:marTop w:val="0"/>
      <w:marBottom w:val="0"/>
      <w:divBdr>
        <w:top w:val="none" w:sz="0" w:space="0" w:color="auto"/>
        <w:left w:val="none" w:sz="0" w:space="0" w:color="auto"/>
        <w:bottom w:val="none" w:sz="0" w:space="0" w:color="auto"/>
        <w:right w:val="none" w:sz="0" w:space="0" w:color="auto"/>
      </w:divBdr>
    </w:div>
    <w:div w:id="988217526">
      <w:bodyDiv w:val="1"/>
      <w:marLeft w:val="0"/>
      <w:marRight w:val="0"/>
      <w:marTop w:val="0"/>
      <w:marBottom w:val="0"/>
      <w:divBdr>
        <w:top w:val="none" w:sz="0" w:space="0" w:color="auto"/>
        <w:left w:val="none" w:sz="0" w:space="0" w:color="auto"/>
        <w:bottom w:val="none" w:sz="0" w:space="0" w:color="auto"/>
        <w:right w:val="none" w:sz="0" w:space="0" w:color="auto"/>
      </w:divBdr>
    </w:div>
    <w:div w:id="1110512456">
      <w:bodyDiv w:val="1"/>
      <w:marLeft w:val="0"/>
      <w:marRight w:val="0"/>
      <w:marTop w:val="0"/>
      <w:marBottom w:val="0"/>
      <w:divBdr>
        <w:top w:val="none" w:sz="0" w:space="0" w:color="auto"/>
        <w:left w:val="none" w:sz="0" w:space="0" w:color="auto"/>
        <w:bottom w:val="none" w:sz="0" w:space="0" w:color="auto"/>
        <w:right w:val="none" w:sz="0" w:space="0" w:color="auto"/>
      </w:divBdr>
    </w:div>
    <w:div w:id="1770201011">
      <w:bodyDiv w:val="1"/>
      <w:marLeft w:val="0"/>
      <w:marRight w:val="0"/>
      <w:marTop w:val="0"/>
      <w:marBottom w:val="0"/>
      <w:divBdr>
        <w:top w:val="none" w:sz="0" w:space="0" w:color="auto"/>
        <w:left w:val="none" w:sz="0" w:space="0" w:color="auto"/>
        <w:bottom w:val="none" w:sz="0" w:space="0" w:color="auto"/>
        <w:right w:val="none" w:sz="0" w:space="0" w:color="auto"/>
      </w:divBdr>
    </w:div>
    <w:div w:id="1790930565">
      <w:bodyDiv w:val="1"/>
      <w:marLeft w:val="0"/>
      <w:marRight w:val="0"/>
      <w:marTop w:val="0"/>
      <w:marBottom w:val="0"/>
      <w:divBdr>
        <w:top w:val="none" w:sz="0" w:space="0" w:color="auto"/>
        <w:left w:val="none" w:sz="0" w:space="0" w:color="auto"/>
        <w:bottom w:val="none" w:sz="0" w:space="0" w:color="auto"/>
        <w:right w:val="none" w:sz="0" w:space="0" w:color="auto"/>
      </w:divBdr>
    </w:div>
    <w:div w:id="1791048672">
      <w:bodyDiv w:val="1"/>
      <w:marLeft w:val="0"/>
      <w:marRight w:val="0"/>
      <w:marTop w:val="0"/>
      <w:marBottom w:val="0"/>
      <w:divBdr>
        <w:top w:val="none" w:sz="0" w:space="0" w:color="auto"/>
        <w:left w:val="none" w:sz="0" w:space="0" w:color="auto"/>
        <w:bottom w:val="none" w:sz="0" w:space="0" w:color="auto"/>
        <w:right w:val="none" w:sz="0" w:space="0" w:color="auto"/>
      </w:divBdr>
    </w:div>
    <w:div w:id="18923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int/sites/default/files/Upload-files/APG-23/R23-WRC23-C-0062A19MSW-E.docx" TargetMode="External"/><Relationship Id="rId3" Type="http://schemas.openxmlformats.org/officeDocument/2006/relationships/settings" Target="settings.xml"/><Relationship Id="rId7" Type="http://schemas.openxmlformats.org/officeDocument/2006/relationships/hyperlink" Target="mailto:reza.naderi.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R23-WRC23-231120-TD-0092/e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386</Words>
  <Characters>2202</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Reza Naderi</cp:lastModifiedBy>
  <cp:revision>37</cp:revision>
  <dcterms:created xsi:type="dcterms:W3CDTF">2023-10-27T03:00:00Z</dcterms:created>
  <dcterms:modified xsi:type="dcterms:W3CDTF">2023-12-06T23:34:00Z</dcterms:modified>
</cp:coreProperties>
</file>