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7600F" w14:textId="4D611C14" w:rsidR="00D059B6" w:rsidRPr="008D7B74" w:rsidRDefault="00EA1B34" w:rsidP="000B5983">
      <w:pPr>
        <w:jc w:val="center"/>
        <w:rPr>
          <w:b/>
        </w:rPr>
      </w:pPr>
      <w:r w:rsidRPr="008D7B74">
        <w:rPr>
          <w:b/>
        </w:rPr>
        <w:t xml:space="preserve">Report of the Agenda Item Coordinator during </w:t>
      </w:r>
      <w:r w:rsidR="003346ED" w:rsidRPr="008D7B74">
        <w:rPr>
          <w:b/>
        </w:rPr>
        <w:t>WRC-</w:t>
      </w:r>
      <w:r w:rsidR="00550E88" w:rsidRPr="008D7B74">
        <w:rPr>
          <w:b/>
        </w:rPr>
        <w:t>23</w:t>
      </w:r>
    </w:p>
    <w:p w14:paraId="2B6CEC8D" w14:textId="51D94EA2" w:rsidR="00EA1B34" w:rsidRPr="008D7B74" w:rsidRDefault="00B309DF" w:rsidP="00AC461C">
      <w:pPr>
        <w:jc w:val="center"/>
      </w:pPr>
      <w:r w:rsidRPr="008D7B74">
        <w:t xml:space="preserve">Ms. </w:t>
      </w:r>
      <w:r w:rsidR="001D1373" w:rsidRPr="008D7B74">
        <w:t>Sofi , sofi@isro.gov.in</w:t>
      </w:r>
    </w:p>
    <w:p w14:paraId="0CBBB38B" w14:textId="0B7700E7" w:rsidR="004D7CC0" w:rsidRPr="008D7B74" w:rsidRDefault="004D7CC0" w:rsidP="00AC461C">
      <w:pPr>
        <w:jc w:val="center"/>
      </w:pPr>
      <w:r w:rsidRPr="008D7B74">
        <w:t xml:space="preserve">Report Date: </w:t>
      </w:r>
      <w:r w:rsidR="00A760EB">
        <w:t>10</w:t>
      </w:r>
      <w:r w:rsidR="00164B74" w:rsidRPr="008D7B74">
        <w:t>.1</w:t>
      </w:r>
      <w:r w:rsidR="00682F33">
        <w:t>2</w:t>
      </w:r>
      <w:r w:rsidR="00164B74" w:rsidRPr="008D7B74">
        <w:t>.2023</w:t>
      </w:r>
    </w:p>
    <w:p w14:paraId="1160A794" w14:textId="77777777" w:rsidR="00EA1B34" w:rsidRPr="008D7B74" w:rsidRDefault="00EA1B34" w:rsidP="00086F2C">
      <w:pPr>
        <w:pStyle w:val="ListParagraph"/>
        <w:numPr>
          <w:ilvl w:val="0"/>
          <w:numId w:val="1"/>
        </w:numPr>
        <w:ind w:leftChars="0" w:left="360"/>
      </w:pPr>
      <w:r w:rsidRPr="008D7B74">
        <w:t>Agenda Item</w:t>
      </w:r>
    </w:p>
    <w:p w14:paraId="6EFEA852" w14:textId="1D2B9C35" w:rsidR="001D1373" w:rsidRDefault="001D1373" w:rsidP="00FF20DE">
      <w:pPr>
        <w:pStyle w:val="ListParagraph"/>
        <w:numPr>
          <w:ilvl w:val="1"/>
          <w:numId w:val="1"/>
        </w:numPr>
        <w:ind w:leftChars="0"/>
      </w:pPr>
      <w:r w:rsidRPr="008D7B74">
        <w:t>to determine and carry out, on the basis of ITU</w:t>
      </w:r>
      <w:r w:rsidRPr="008D7B74">
        <w:noBreakHyphen/>
        <w:t>R studies in</w:t>
      </w:r>
      <w:r w:rsidRPr="008D7B74">
        <w:rPr>
          <w:spacing w:val="-8"/>
        </w:rPr>
        <w:t xml:space="preserve"> </w:t>
      </w:r>
      <w:r w:rsidRPr="008D7B74">
        <w:t>accordance</w:t>
      </w:r>
      <w:r w:rsidRPr="008D7B74">
        <w:rPr>
          <w:spacing w:val="-2"/>
        </w:rPr>
        <w:t xml:space="preserve"> </w:t>
      </w:r>
      <w:r w:rsidRPr="008D7B74">
        <w:t>with Resolution </w:t>
      </w:r>
      <w:r w:rsidRPr="008D7B74">
        <w:rPr>
          <w:b/>
        </w:rPr>
        <w:t>773 (WRC</w:t>
      </w:r>
      <w:r w:rsidRPr="008D7B74">
        <w:rPr>
          <w:b/>
        </w:rPr>
        <w:noBreakHyphen/>
        <w:t>19)</w:t>
      </w:r>
      <w:r w:rsidRPr="008D7B74">
        <w:t>, the appropriate regulatory actions for the provision of inter-satellite links in specific frequency bands, or portions thereof, by adding an inter-satellite service allocation where appropriate;</w:t>
      </w:r>
    </w:p>
    <w:p w14:paraId="2D1465B6" w14:textId="77777777" w:rsidR="00AA3216" w:rsidRPr="008D7B74" w:rsidRDefault="00AA3216" w:rsidP="00AA3216">
      <w:pPr>
        <w:pStyle w:val="ListParagraph"/>
        <w:ind w:leftChars="0" w:left="840"/>
      </w:pPr>
    </w:p>
    <w:p w14:paraId="13737056" w14:textId="4ACE7DCA" w:rsidR="00E919F0" w:rsidRPr="008D7B74" w:rsidRDefault="00EA1B34" w:rsidP="00E919F0">
      <w:pPr>
        <w:pStyle w:val="ListParagraph"/>
        <w:numPr>
          <w:ilvl w:val="0"/>
          <w:numId w:val="1"/>
        </w:numPr>
        <w:ind w:leftChars="0" w:left="360"/>
      </w:pPr>
      <w:r w:rsidRPr="008D7B74">
        <w:t xml:space="preserve">Topics proposed by other regional Groups or ITU Members which are </w:t>
      </w:r>
      <w:r w:rsidR="008742F3" w:rsidRPr="008D7B74">
        <w:t xml:space="preserve">not included in </w:t>
      </w:r>
      <w:r w:rsidR="00550E88" w:rsidRPr="008D7B74">
        <w:t>ACP and APT View</w:t>
      </w:r>
      <w:r w:rsidR="00E919F0" w:rsidRPr="008D7B74">
        <w:t xml:space="preserve"> </w:t>
      </w:r>
    </w:p>
    <w:p w14:paraId="5381ABA6" w14:textId="4BCC5056" w:rsidR="008D7B74" w:rsidRPr="008D7B74" w:rsidRDefault="008D7B74" w:rsidP="009C6F82">
      <w:pPr>
        <w:pStyle w:val="ListParagraph"/>
        <w:numPr>
          <w:ilvl w:val="0"/>
          <w:numId w:val="19"/>
        </w:numPr>
        <w:ind w:leftChars="0"/>
      </w:pPr>
      <w:r w:rsidRPr="008D7B74">
        <w:t>For NGSO</w:t>
      </w:r>
      <w:r w:rsidR="00CC7FB3">
        <w:t>(LEO)-</w:t>
      </w:r>
      <w:r w:rsidRPr="008D7B74">
        <w:t xml:space="preserve">GSO CEPT has proposed Expanded cone of coverage, other regional groups </w:t>
      </w:r>
      <w:r w:rsidR="00CC7FB3">
        <w:t>are yet to provide feedback. CITEL is considering it favourably.</w:t>
      </w:r>
    </w:p>
    <w:p w14:paraId="33783930" w14:textId="028EC366" w:rsidR="004D7CC0" w:rsidRDefault="008D7B74" w:rsidP="009C6F82">
      <w:pPr>
        <w:pStyle w:val="ListParagraph"/>
        <w:numPr>
          <w:ilvl w:val="0"/>
          <w:numId w:val="19"/>
        </w:numPr>
        <w:ind w:leftChars="0"/>
      </w:pPr>
      <w:r w:rsidRPr="008D7B74">
        <w:t>RCC input indicates that a</w:t>
      </w:r>
      <w:r w:rsidR="00E919F0" w:rsidRPr="008D7B74">
        <w:t>dministrations must be given the opportunity to exclude their territory from the service area of any system using satellite to satellite links within the framework of FSS allocation.</w:t>
      </w:r>
    </w:p>
    <w:p w14:paraId="39EAD016" w14:textId="77777777" w:rsidR="00AA3216" w:rsidRPr="008D7B74" w:rsidRDefault="00AA3216" w:rsidP="008D7B74">
      <w:pPr>
        <w:ind w:left="360"/>
      </w:pPr>
    </w:p>
    <w:p w14:paraId="00743B9E" w14:textId="0A51AB01" w:rsidR="00C352AD" w:rsidRPr="008D7B74" w:rsidRDefault="008742F3" w:rsidP="008D382D">
      <w:pPr>
        <w:pStyle w:val="ListParagraph"/>
        <w:numPr>
          <w:ilvl w:val="0"/>
          <w:numId w:val="1"/>
        </w:numPr>
        <w:ind w:leftChars="0" w:left="360"/>
      </w:pPr>
      <w:r w:rsidRPr="008D7B74">
        <w:t xml:space="preserve">Progress of discussion during </w:t>
      </w:r>
      <w:r w:rsidR="003346ED" w:rsidRPr="008D7B74">
        <w:t>WRC-</w:t>
      </w:r>
      <w:r w:rsidR="00550E88" w:rsidRPr="008D7B74">
        <w:t>23</w:t>
      </w:r>
      <w:r w:rsidR="003346ED" w:rsidRPr="008D7B74">
        <w:t xml:space="preserve"> </w:t>
      </w:r>
      <w:r w:rsidR="00D1517A" w:rsidRPr="008D7B74">
        <w:t>on the Agenda Item</w:t>
      </w:r>
    </w:p>
    <w:p w14:paraId="299F71AD" w14:textId="2A24B38C" w:rsidR="00675E27" w:rsidRDefault="002572CB" w:rsidP="00887BA8">
      <w:pPr>
        <w:ind w:left="360"/>
      </w:pPr>
      <w:r>
        <w:t>O</w:t>
      </w:r>
      <w:r w:rsidR="008D382D">
        <w:t xml:space="preserve">ffline discussions among regional coordinators </w:t>
      </w:r>
      <w:r w:rsidR="00887778">
        <w:t>w</w:t>
      </w:r>
      <w:r w:rsidR="008D382D">
        <w:t>ere</w:t>
      </w:r>
      <w:r w:rsidR="00887778">
        <w:t xml:space="preserve"> </w:t>
      </w:r>
      <w:r w:rsidR="00D4604D">
        <w:t>held today</w:t>
      </w:r>
      <w:r w:rsidR="003E063B">
        <w:t xml:space="preserve"> (10 Dec 2023) and the draft output document for consideration is attached </w:t>
      </w:r>
      <w:r w:rsidR="00D4604D">
        <w:t xml:space="preserve"> .</w:t>
      </w:r>
      <w:r w:rsidR="00D815BC" w:rsidRPr="008D7B74">
        <w:t xml:space="preserve"> </w:t>
      </w:r>
    </w:p>
    <w:p w14:paraId="573F764C" w14:textId="38AA32D4" w:rsidR="000750EC" w:rsidRDefault="000750EC" w:rsidP="00887BA8">
      <w:pPr>
        <w:ind w:left="360"/>
      </w:pPr>
    </w:p>
    <w:p w14:paraId="60428F13" w14:textId="77777777" w:rsidR="00D318E3" w:rsidRDefault="00D318E3" w:rsidP="00D318E3">
      <w:pPr>
        <w:ind w:left="360"/>
        <w:rPr>
          <w:b/>
          <w:bCs/>
        </w:rPr>
      </w:pPr>
      <w:r>
        <w:rPr>
          <w:b/>
          <w:bCs/>
        </w:rPr>
        <w:t>Offline discussion among regional coordinators:</w:t>
      </w:r>
    </w:p>
    <w:p w14:paraId="1820CFB8" w14:textId="02FAC9C9" w:rsidR="00CB7ABD" w:rsidRPr="00DD5D83" w:rsidRDefault="002572CB" w:rsidP="00DD5D83">
      <w:pPr>
        <w:ind w:left="360"/>
        <w:jc w:val="both"/>
        <w:rPr>
          <w:color w:val="000000" w:themeColor="text1"/>
        </w:rPr>
      </w:pPr>
      <w:r w:rsidRPr="00DD5D83">
        <w:rPr>
          <w:color w:val="000000" w:themeColor="text1"/>
        </w:rPr>
        <w:t xml:space="preserve">The </w:t>
      </w:r>
      <w:r w:rsidR="003E063B" w:rsidRPr="00DD5D83">
        <w:rPr>
          <w:color w:val="000000" w:themeColor="text1"/>
        </w:rPr>
        <w:t>additional points in this document are extracted and given below for careful consideration:</w:t>
      </w:r>
    </w:p>
    <w:p w14:paraId="2EF17A14" w14:textId="77777777" w:rsidR="00CB7ABD" w:rsidRDefault="00CB7ABD" w:rsidP="00CB7ABD">
      <w:pPr>
        <w:ind w:firstLine="720"/>
        <w:jc w:val="both"/>
        <w:rPr>
          <w:color w:val="000000" w:themeColor="text1"/>
        </w:rPr>
      </w:pPr>
    </w:p>
    <w:p w14:paraId="6A1BD3F9" w14:textId="68E832CB" w:rsidR="00CB7ABD" w:rsidRPr="00CB7ABD" w:rsidRDefault="00CB7ABD" w:rsidP="00CB7ABD">
      <w:pPr>
        <w:ind w:firstLine="720"/>
        <w:jc w:val="both"/>
        <w:rPr>
          <w:color w:val="000000" w:themeColor="text1"/>
        </w:rPr>
      </w:pPr>
      <w:r w:rsidRPr="00CB7ABD">
        <w:rPr>
          <w:color w:val="000000" w:themeColor="text1"/>
        </w:rPr>
        <w:t>Considering:</w:t>
      </w:r>
    </w:p>
    <w:p w14:paraId="75F418AD" w14:textId="6EBDBC47" w:rsidR="00CB7ABD" w:rsidRPr="00CB7ABD" w:rsidRDefault="00CB7ABD" w:rsidP="00DD5D83">
      <w:pPr>
        <w:pStyle w:val="Reasons"/>
        <w:numPr>
          <w:ilvl w:val="0"/>
          <w:numId w:val="22"/>
        </w:numPr>
        <w:jc w:val="both"/>
      </w:pPr>
      <w:r w:rsidRPr="00CB7ABD">
        <w:rPr>
          <w:i/>
          <w:iCs/>
        </w:rPr>
        <w:t>h)</w:t>
      </w:r>
      <w:r w:rsidRPr="00CB7ABD">
        <w:tab/>
        <w:t>that there is no protection criteria for evaluation of time varying interference into non-GSO satellite systems, established in ITU-R; therefore, the following protection criteria were used as a basis for sharing studies involving links between two non-GSO space stations and interfered-with non-GSO FSS systems: I/N of 0 dB not to be exceeded more than 0.02% of the time, -6 dB no more than 0.6% of the time and -10.5 dB no more than 20% of the time,</w:t>
      </w:r>
    </w:p>
    <w:p w14:paraId="768C7A66" w14:textId="6F2A27F7" w:rsidR="00CB7ABD" w:rsidRPr="00CB7ABD" w:rsidRDefault="00CB7ABD" w:rsidP="00DD5D83">
      <w:pPr>
        <w:pStyle w:val="Call"/>
        <w:ind w:left="720"/>
        <w:jc w:val="both"/>
      </w:pPr>
      <w:r w:rsidRPr="00CB7ABD">
        <w:t xml:space="preserve">resolves </w:t>
      </w:r>
    </w:p>
    <w:p w14:paraId="237C65B4" w14:textId="77777777" w:rsidR="00CB7ABD" w:rsidRPr="00CB7ABD" w:rsidRDefault="00CB7ABD" w:rsidP="00DD5D83">
      <w:pPr>
        <w:jc w:val="both"/>
        <w:rPr>
          <w:lang w:val="en-GB" w:bidi="ar-SA"/>
        </w:rPr>
      </w:pPr>
    </w:p>
    <w:p w14:paraId="7D103A36" w14:textId="1CEF6461" w:rsidR="00CB7ABD" w:rsidRPr="00CB7ABD" w:rsidRDefault="00CB7ABD" w:rsidP="00DD5D83">
      <w:pPr>
        <w:pStyle w:val="Reasons"/>
        <w:numPr>
          <w:ilvl w:val="0"/>
          <w:numId w:val="22"/>
        </w:numPr>
        <w:jc w:val="both"/>
      </w:pPr>
      <w:r w:rsidRPr="00CB7ABD">
        <w:t>4ter</w:t>
      </w:r>
      <w:r w:rsidRPr="00CB7ABD">
        <w:tab/>
        <w:t xml:space="preserve">that the notifying administration of a non-GSO ISS system communicating with a non-GSO space station in 18.1-18.6 GHz and 19.7-20.2 GHz and receiving in 27.5-28.6 GHz and 29.5-30.0 GHz shall ensure that the equivalent power flux-density produced by the emissions from operations of inter-satellite links in the ISS comply with the </w:t>
      </w:r>
      <w:proofErr w:type="spellStart"/>
      <w:r w:rsidRPr="00CB7ABD">
        <w:t>epfd</w:t>
      </w:r>
      <w:proofErr w:type="spellEnd"/>
      <w:r w:rsidRPr="00CB7ABD">
        <w:t xml:space="preserve"> limits contained in Article 22, Tables 22-1B, 22-1C and 22-2</w:t>
      </w:r>
    </w:p>
    <w:p w14:paraId="519EB148" w14:textId="08BAB075" w:rsidR="00CB7ABD" w:rsidRPr="00CB7ABD" w:rsidRDefault="00CB7ABD" w:rsidP="00CB7ABD">
      <w:pPr>
        <w:pStyle w:val="Call"/>
        <w:ind w:left="720"/>
      </w:pPr>
      <w:r w:rsidRPr="00CB7ABD">
        <w:t>invites the ITU Radiocommunication Sector</w:t>
      </w:r>
    </w:p>
    <w:p w14:paraId="500405F9" w14:textId="4E5BE33B" w:rsidR="00CB7ABD" w:rsidRPr="00CB7ABD" w:rsidRDefault="00CB7ABD" w:rsidP="00CB7ABD">
      <w:pPr>
        <w:pStyle w:val="ListParagraph"/>
        <w:ind w:leftChars="0" w:left="1080"/>
      </w:pPr>
      <w:r w:rsidRPr="00CB7ABD">
        <w:t xml:space="preserve"> </w:t>
      </w:r>
    </w:p>
    <w:p w14:paraId="45661419" w14:textId="77777777" w:rsidR="00CB7ABD" w:rsidRPr="00CB7ABD" w:rsidRDefault="00CB7ABD" w:rsidP="00DD5D83">
      <w:pPr>
        <w:pStyle w:val="ListParagraph"/>
        <w:numPr>
          <w:ilvl w:val="0"/>
          <w:numId w:val="22"/>
        </w:numPr>
        <w:ind w:leftChars="0"/>
        <w:jc w:val="both"/>
      </w:pPr>
      <w:r w:rsidRPr="00CB7ABD">
        <w:t>2</w:t>
      </w:r>
      <w:r w:rsidRPr="00CB7ABD">
        <w:tab/>
        <w:t xml:space="preserve">to develop a suitable methodology for calculating the </w:t>
      </w:r>
      <w:proofErr w:type="spellStart"/>
      <w:r w:rsidRPr="00CB7ABD">
        <w:t>epfd</w:t>
      </w:r>
      <w:proofErr w:type="spellEnd"/>
      <w:r w:rsidRPr="00CB7ABD">
        <w:t xml:space="preserve"> produced by the emissions from operations of all ISS links in the frequency bands 18.1-18.6 GHz and 19.7-20.2 GHz, within a given non-GSO ISS system for use by the Radiocommunication Bureau to examine whether the system is in compliance with the </w:t>
      </w:r>
      <w:proofErr w:type="spellStart"/>
      <w:r w:rsidRPr="00CB7ABD">
        <w:t>epfd</w:t>
      </w:r>
      <w:proofErr w:type="spellEnd"/>
      <w:r w:rsidRPr="00CB7ABD">
        <w:t xml:space="preserve"> limits contained in Article </w:t>
      </w:r>
      <w:r w:rsidRPr="00CB7ABD">
        <w:rPr>
          <w:rStyle w:val="Artref"/>
          <w:rFonts w:eastAsia="MS Mincho"/>
          <w:bCs/>
        </w:rPr>
        <w:t>22,</w:t>
      </w:r>
      <w:r w:rsidRPr="00CB7ABD">
        <w:t xml:space="preserve"> Tables </w:t>
      </w:r>
      <w:r w:rsidRPr="00CB7ABD">
        <w:rPr>
          <w:b/>
          <w:bCs/>
        </w:rPr>
        <w:t>22-1B</w:t>
      </w:r>
      <w:r w:rsidRPr="00CB7ABD">
        <w:t xml:space="preserve">, </w:t>
      </w:r>
      <w:r w:rsidRPr="00CB7ABD">
        <w:rPr>
          <w:b/>
          <w:bCs/>
        </w:rPr>
        <w:t>22-1C</w:t>
      </w:r>
    </w:p>
    <w:p w14:paraId="28BA4AED" w14:textId="77777777" w:rsidR="00CB7ABD" w:rsidRPr="00CB7ABD" w:rsidRDefault="00CB7ABD" w:rsidP="00CB7ABD">
      <w:pPr>
        <w:jc w:val="both"/>
        <w:rPr>
          <w:color w:val="000000" w:themeColor="text1"/>
        </w:rPr>
      </w:pPr>
    </w:p>
    <w:p w14:paraId="4494BE8F" w14:textId="195F5582" w:rsidR="00B51B0B" w:rsidRDefault="00B51B0B" w:rsidP="00B51B0B">
      <w:pPr>
        <w:pStyle w:val="Call"/>
        <w:ind w:left="1080"/>
      </w:pPr>
    </w:p>
    <w:p w14:paraId="0DD921AB" w14:textId="796022BB" w:rsidR="00CB7ABD" w:rsidRDefault="00B51B0B" w:rsidP="00DD5D83">
      <w:pPr>
        <w:pStyle w:val="Call"/>
        <w:ind w:left="0"/>
      </w:pPr>
      <w:r>
        <w:tab/>
      </w:r>
      <w:r w:rsidR="00CB7ABD" w:rsidRPr="00CB7ABD">
        <w:t>instructs the Director of the Radiocommunication Bureau</w:t>
      </w:r>
    </w:p>
    <w:p w14:paraId="1658D939" w14:textId="77777777" w:rsidR="00DD5D83" w:rsidRPr="00DD5D83" w:rsidRDefault="00DD5D83" w:rsidP="00DD5D83">
      <w:pPr>
        <w:rPr>
          <w:lang w:val="en-GB" w:bidi="ar-SA"/>
        </w:rPr>
      </w:pPr>
    </w:p>
    <w:p w14:paraId="5E2ECFFD" w14:textId="26EA9C8E" w:rsidR="00CB7ABD" w:rsidRPr="00CB7ABD" w:rsidRDefault="00CB7ABD" w:rsidP="00DD5D83">
      <w:pPr>
        <w:ind w:left="800"/>
        <w:jc w:val="both"/>
        <w:rPr>
          <w:i/>
          <w:iCs/>
          <w:lang w:eastAsia="zh-CN"/>
        </w:rPr>
      </w:pPr>
      <w:r w:rsidRPr="00CB7ABD">
        <w:t xml:space="preserve">until the methodology is developed, according to </w:t>
      </w:r>
      <w:r w:rsidRPr="00CB7ABD">
        <w:rPr>
          <w:i/>
          <w:iCs/>
        </w:rPr>
        <w:t>invites the ITU Radiocommunication Sector</w:t>
      </w:r>
      <w:r w:rsidRPr="00CB7ABD">
        <w:t xml:space="preserve"> </w:t>
      </w:r>
      <w:r w:rsidRPr="00CB7ABD">
        <w:rPr>
          <w:i/>
          <w:iCs/>
        </w:rPr>
        <w:t>1</w:t>
      </w:r>
      <w:r w:rsidRPr="00CB7ABD">
        <w:t xml:space="preserve"> and </w:t>
      </w:r>
      <w:r w:rsidRPr="00CB7ABD">
        <w:rPr>
          <w:i/>
          <w:iCs/>
        </w:rPr>
        <w:t>2</w:t>
      </w:r>
      <w:r w:rsidRPr="00CB7ABD">
        <w:t xml:space="preserve"> above, the Bureau shall issue a qualified favourable finding for examination under No. </w:t>
      </w:r>
      <w:r w:rsidRPr="00CB7ABD">
        <w:rPr>
          <w:b/>
          <w:bCs/>
        </w:rPr>
        <w:t>11.31</w:t>
      </w:r>
      <w:r w:rsidRPr="00CB7ABD">
        <w:t xml:space="preserve">. When the methodology is available the Bureau shall review its finding under No. </w:t>
      </w:r>
      <w:r w:rsidRPr="00CB7ABD">
        <w:rPr>
          <w:b/>
          <w:bCs/>
        </w:rPr>
        <w:t>11.31</w:t>
      </w:r>
      <w:r w:rsidRPr="00CB7ABD">
        <w:t>.</w:t>
      </w:r>
    </w:p>
    <w:p w14:paraId="3F525000" w14:textId="699229BC" w:rsidR="00D318E3" w:rsidRPr="00CB7ABD" w:rsidRDefault="00D318E3" w:rsidP="00CB7ABD">
      <w:pPr>
        <w:jc w:val="both"/>
        <w:rPr>
          <w:color w:val="000000" w:themeColor="text1"/>
        </w:rPr>
      </w:pPr>
    </w:p>
    <w:p w14:paraId="1F05FA47" w14:textId="2757FCD2" w:rsidR="00CB7ABD" w:rsidRDefault="00CB7ABD" w:rsidP="00C3164A">
      <w:pPr>
        <w:ind w:firstLine="800"/>
        <w:jc w:val="both"/>
        <w:rPr>
          <w:color w:val="000000" w:themeColor="text1"/>
        </w:rPr>
      </w:pPr>
      <w:r w:rsidRPr="00CB7ABD">
        <w:rPr>
          <w:color w:val="000000" w:themeColor="text1"/>
        </w:rPr>
        <w:t>Para 7 in Annex-5:</w:t>
      </w:r>
    </w:p>
    <w:p w14:paraId="758AD0DD" w14:textId="77777777" w:rsidR="00DD5D83" w:rsidRPr="00CB7ABD" w:rsidRDefault="00DD5D83" w:rsidP="00DD5D83">
      <w:pPr>
        <w:jc w:val="both"/>
        <w:rPr>
          <w:color w:val="000000" w:themeColor="text1"/>
        </w:rPr>
      </w:pPr>
    </w:p>
    <w:p w14:paraId="499739CD" w14:textId="78DFC639" w:rsidR="00CB7ABD" w:rsidRDefault="00CB7ABD" w:rsidP="00DD5D83">
      <w:pPr>
        <w:ind w:left="800"/>
        <w:jc w:val="both"/>
      </w:pPr>
      <w:r w:rsidRPr="00CB7ABD">
        <w:t>In those cases where the conditions identified in Appendix 4 of this Annex are met, the notifying administration of frequency assignments to the ISS GSO space stations shall seek agreement from the notifying administration</w:t>
      </w:r>
      <w:r w:rsidRPr="00CB7ABD">
        <w:rPr>
          <w:lang w:val="en-US"/>
        </w:rPr>
        <w:t xml:space="preserve"> of the GSO FSS, MSS network</w:t>
      </w:r>
      <w:r w:rsidRPr="00CB7ABD">
        <w:t xml:space="preserve">. In the absence of agreement, frequency assignments to the ISS space station shall operate under the express condition that the ISS space station does not cause harmful interference to, nor claim protection from, frequency assignments to the GSO FSS, MSS network operating in accordance with the Radio Regulations. </w:t>
      </w:r>
    </w:p>
    <w:p w14:paraId="3BC47038" w14:textId="77777777" w:rsidR="00DD5D83" w:rsidRPr="00CB7ABD" w:rsidRDefault="00DD5D83" w:rsidP="00DD5D83">
      <w:pPr>
        <w:ind w:left="800"/>
        <w:jc w:val="both"/>
      </w:pPr>
    </w:p>
    <w:p w14:paraId="4991589F" w14:textId="77777777" w:rsidR="00CB7ABD" w:rsidRPr="00CB7ABD" w:rsidRDefault="00CB7ABD" w:rsidP="00C3164A">
      <w:pPr>
        <w:ind w:firstLine="800"/>
      </w:pPr>
      <w:r w:rsidRPr="00CB7ABD">
        <w:t>7.1)</w:t>
      </w:r>
      <w:r w:rsidRPr="00CB7ABD">
        <w:tab/>
        <w:t>The BR shall not perform an examination</w:t>
      </w:r>
      <w:r w:rsidRPr="00CB7ABD">
        <w:rPr>
          <w:lang w:val="en-US"/>
        </w:rPr>
        <w:t xml:space="preserve"> under provision 7)</w:t>
      </w:r>
      <w:r w:rsidRPr="00CB7ABD">
        <w:t xml:space="preserve"> of this annex, </w:t>
      </w:r>
    </w:p>
    <w:p w14:paraId="68019BDC" w14:textId="77777777" w:rsidR="00CB7ABD" w:rsidRPr="00CB7ABD" w:rsidRDefault="00CB7ABD" w:rsidP="00C3164A">
      <w:pPr>
        <w:ind w:left="800"/>
        <w:jc w:val="both"/>
        <w:rPr>
          <w:lang w:val="en-US"/>
        </w:rPr>
      </w:pPr>
      <w:r w:rsidRPr="00CB7ABD">
        <w:rPr>
          <w:lang w:val="en-US"/>
        </w:rPr>
        <w:t xml:space="preserve">7.2) </w:t>
      </w:r>
      <w:r w:rsidRPr="00CB7ABD">
        <w:rPr>
          <w:lang w:val="en-US"/>
        </w:rPr>
        <w:tab/>
        <w:t xml:space="preserve">in case </w:t>
      </w:r>
      <w:r w:rsidRPr="00CB7ABD">
        <w:t xml:space="preserve">of the </w:t>
      </w:r>
      <w:r w:rsidRPr="00CB7ABD">
        <w:rPr>
          <w:lang w:val="en-US"/>
        </w:rPr>
        <w:t>harmful interference actually being caused by an ISS space station under provision 7)</w:t>
      </w:r>
      <w:r w:rsidRPr="00CB7ABD">
        <w:t xml:space="preserve"> of this annex</w:t>
      </w:r>
      <w:r w:rsidRPr="00CB7ABD">
        <w:rPr>
          <w:lang w:val="en-US"/>
        </w:rPr>
        <w:t xml:space="preserve">, for the case of  ISS links between a non-GSO space station and a GSO space station, to any GSO FSS, MSS with recorded frequency assignments operating in accordance with the Radio Regulations, the notifying administration of a GSO ISS space station shall, upon receipt of a report providing the particulars relating to the harmful interference given in the form indicated in </w:t>
      </w:r>
      <w:r w:rsidRPr="00CB7ABD">
        <w:rPr>
          <w:b/>
          <w:bCs/>
          <w:lang w:val="en-US"/>
        </w:rPr>
        <w:t>RR</w:t>
      </w:r>
      <w:r w:rsidRPr="00CB7ABD">
        <w:rPr>
          <w:lang w:val="en-US"/>
        </w:rPr>
        <w:t xml:space="preserve"> Appendix </w:t>
      </w:r>
      <w:r w:rsidRPr="00CB7ABD">
        <w:rPr>
          <w:b/>
          <w:bCs/>
          <w:lang w:val="en-US"/>
        </w:rPr>
        <w:t>10</w:t>
      </w:r>
      <w:r w:rsidRPr="00CB7ABD">
        <w:rPr>
          <w:lang w:val="en-US"/>
        </w:rPr>
        <w:t>, immediately eliminate this harmful interference;</w:t>
      </w:r>
    </w:p>
    <w:p w14:paraId="20C5276F" w14:textId="77777777" w:rsidR="00CB7ABD" w:rsidRPr="00CB7ABD" w:rsidRDefault="00CB7ABD" w:rsidP="00C3164A">
      <w:pPr>
        <w:ind w:left="800"/>
      </w:pPr>
      <w:r w:rsidRPr="00CB7ABD">
        <w:rPr>
          <w:lang w:val="en-US"/>
        </w:rPr>
        <w:t>7.3</w:t>
      </w:r>
      <w:r w:rsidRPr="00CB7ABD">
        <w:t xml:space="preserve">) </w:t>
      </w:r>
      <w:r w:rsidRPr="00CB7ABD">
        <w:tab/>
        <w:t xml:space="preserve">in case of unresolved </w:t>
      </w:r>
      <w:r w:rsidRPr="00CB7ABD">
        <w:rPr>
          <w:lang w:val="en-US"/>
        </w:rPr>
        <w:t xml:space="preserve">harmful </w:t>
      </w:r>
      <w:r w:rsidRPr="00CB7ABD">
        <w:t>interference under provision 7) of this annex, the BR shall submit the case to the subsequent meeting of the Radio Regulations Board for review and necessary actions (including suppression of the subject frequency assignment), as appropriate;</w:t>
      </w:r>
    </w:p>
    <w:p w14:paraId="30C30D40" w14:textId="2135E686" w:rsidR="00CB7ABD" w:rsidRPr="00DD5D83" w:rsidRDefault="00CB7ABD" w:rsidP="00C3164A">
      <w:pPr>
        <w:ind w:left="800"/>
      </w:pPr>
      <w:r w:rsidRPr="00CB7ABD">
        <w:t>7.4)</w:t>
      </w:r>
      <w:r w:rsidRPr="00CB7ABD">
        <w:tab/>
        <w:t>the notifying administration of the GSO ISS space station shall inform the notifying administration of the non-GSO ISS space station of the status of the agreement being sought under provision 7) of this annex</w:t>
      </w:r>
    </w:p>
    <w:p w14:paraId="2D685468" w14:textId="23B6A6B0" w:rsidR="00CB7ABD" w:rsidRPr="00CB7ABD" w:rsidRDefault="00F525ED" w:rsidP="00F525ED">
      <w:pPr>
        <w:pStyle w:val="AnnexNo"/>
        <w:jc w:val="left"/>
      </w:pPr>
      <w:r>
        <w:tab/>
      </w:r>
      <w:r>
        <w:tab/>
      </w:r>
      <w:r>
        <w:tab/>
      </w:r>
      <w:r>
        <w:tab/>
      </w:r>
      <w:r>
        <w:tab/>
      </w:r>
      <w:r w:rsidR="00CB7ABD" w:rsidRPr="00CB7ABD">
        <w:t>APPENDIX 4 tO aNNEX 5</w:t>
      </w:r>
    </w:p>
    <w:p w14:paraId="167ADF8B" w14:textId="4BC4D985" w:rsidR="00CB7ABD" w:rsidRPr="00CB7ABD" w:rsidRDefault="00CB7ABD" w:rsidP="00C3164A">
      <w:pPr>
        <w:pStyle w:val="Reasons"/>
        <w:ind w:left="349"/>
      </w:pPr>
      <w:r w:rsidRPr="00CB7ABD">
        <w:t>Provision 7) under this annex applies when the following conditions are met between frequency assignments for the notifying administration of a GSO FSS, MSS network and frequency assignments to the GSO ISS space station receiving in 27.5-30 GHz and transmitting in 18.1-18.6 GHz and 18.8-20.2 GHz</w:t>
      </w:r>
    </w:p>
    <w:p w14:paraId="02DE8F19" w14:textId="77777777" w:rsidR="00CB7ABD" w:rsidRPr="00CB7ABD" w:rsidRDefault="00CB7ABD" w:rsidP="00CB7ABD">
      <w:pPr>
        <w:pStyle w:val="Reasons"/>
        <w:numPr>
          <w:ilvl w:val="0"/>
          <w:numId w:val="28"/>
        </w:numPr>
        <w:spacing w:before="0"/>
        <w:ind w:left="709"/>
      </w:pPr>
      <w:r w:rsidRPr="00CB7ABD">
        <w:t xml:space="preserve">The date of receipt under No. </w:t>
      </w:r>
      <w:r w:rsidRPr="00CB7ABD">
        <w:rPr>
          <w:b/>
          <w:bCs/>
        </w:rPr>
        <w:t>9.6</w:t>
      </w:r>
      <w:r w:rsidRPr="00CB7ABD">
        <w:t xml:space="preserve"> of the frequency assignments to the GSO FSS, MSS network is before the date of recording of the ISS frequency assignments in the MIFR, and;</w:t>
      </w:r>
    </w:p>
    <w:p w14:paraId="2F245D04" w14:textId="77777777" w:rsidR="00CB7ABD" w:rsidRPr="00CB7ABD" w:rsidRDefault="00CB7ABD" w:rsidP="00CB7ABD">
      <w:pPr>
        <w:pStyle w:val="ListParagraph"/>
        <w:numPr>
          <w:ilvl w:val="0"/>
          <w:numId w:val="28"/>
        </w:numPr>
        <w:tabs>
          <w:tab w:val="left" w:pos="1134"/>
          <w:tab w:val="left" w:pos="1871"/>
          <w:tab w:val="left" w:pos="2268"/>
        </w:tabs>
        <w:overflowPunct w:val="0"/>
        <w:autoSpaceDE w:val="0"/>
        <w:autoSpaceDN w:val="0"/>
        <w:adjustRightInd w:val="0"/>
        <w:ind w:leftChars="0" w:left="709"/>
        <w:contextualSpacing/>
        <w:textAlignment w:val="baseline"/>
      </w:pPr>
      <w:r w:rsidRPr="00CB7ABD">
        <w:t>Frequency overlap, and;</w:t>
      </w:r>
    </w:p>
    <w:p w14:paraId="21113F5E" w14:textId="77777777" w:rsidR="00CB7ABD" w:rsidRPr="00CB7ABD" w:rsidRDefault="00CB7ABD" w:rsidP="00CB7ABD">
      <w:pPr>
        <w:pStyle w:val="ListParagraph"/>
        <w:numPr>
          <w:ilvl w:val="0"/>
          <w:numId w:val="28"/>
        </w:numPr>
        <w:tabs>
          <w:tab w:val="left" w:pos="1134"/>
          <w:tab w:val="left" w:pos="1871"/>
          <w:tab w:val="left" w:pos="2268"/>
        </w:tabs>
        <w:overflowPunct w:val="0"/>
        <w:autoSpaceDE w:val="0"/>
        <w:autoSpaceDN w:val="0"/>
        <w:adjustRightInd w:val="0"/>
        <w:spacing w:before="120"/>
        <w:ind w:leftChars="0" w:left="709"/>
        <w:contextualSpacing/>
        <w:textAlignment w:val="baseline"/>
      </w:pPr>
      <w:r w:rsidRPr="00CB7ABD">
        <w:t xml:space="preserve">Orbital separation of less than or equal to two degrees, and; </w:t>
      </w:r>
    </w:p>
    <w:p w14:paraId="2DB8CC9F" w14:textId="77777777" w:rsidR="00CB7ABD" w:rsidRPr="00CB7ABD" w:rsidRDefault="00CB7ABD" w:rsidP="00CB7ABD">
      <w:pPr>
        <w:pStyle w:val="ListParagraph"/>
        <w:numPr>
          <w:ilvl w:val="0"/>
          <w:numId w:val="28"/>
        </w:numPr>
        <w:tabs>
          <w:tab w:val="left" w:pos="1134"/>
          <w:tab w:val="left" w:pos="1871"/>
          <w:tab w:val="left" w:pos="2268"/>
        </w:tabs>
        <w:overflowPunct w:val="0"/>
        <w:autoSpaceDE w:val="0"/>
        <w:autoSpaceDN w:val="0"/>
        <w:adjustRightInd w:val="0"/>
        <w:spacing w:before="120"/>
        <w:ind w:leftChars="0" w:left="709"/>
        <w:contextualSpacing/>
        <w:textAlignment w:val="baseline"/>
      </w:pPr>
      <w:r w:rsidRPr="00CB7ABD">
        <w:t xml:space="preserve">The maximum off-axis </w:t>
      </w:r>
      <w:proofErr w:type="spellStart"/>
      <w:r w:rsidRPr="00CB7ABD">
        <w:t>e.i.r.p</w:t>
      </w:r>
      <w:proofErr w:type="spellEnd"/>
      <w:r w:rsidRPr="00CB7ABD">
        <w:t xml:space="preserve">. spectral density the non GSO ISS space station towards the affected GSO FSS, MSS space station exceeds −65 +29-25*log(Ɵ) </w:t>
      </w:r>
      <w:proofErr w:type="spellStart"/>
      <w:r w:rsidRPr="00CB7ABD">
        <w:t>dBW</w:t>
      </w:r>
      <w:proofErr w:type="spellEnd"/>
      <w:r w:rsidRPr="00CB7ABD">
        <w:t>/Hz, where Ɵ is the topocentric angular separation between the notified affected GSO FSS, MSS space station and the notified GSO ISS space station, and;</w:t>
      </w:r>
    </w:p>
    <w:p w14:paraId="4C2F31D3" w14:textId="4F271F3F" w:rsidR="00CB7ABD" w:rsidRPr="00C3164A" w:rsidRDefault="00CB7ABD" w:rsidP="00C3164A">
      <w:pPr>
        <w:pStyle w:val="ListParagraph"/>
        <w:numPr>
          <w:ilvl w:val="0"/>
          <w:numId w:val="28"/>
        </w:numPr>
        <w:tabs>
          <w:tab w:val="left" w:pos="1134"/>
          <w:tab w:val="left" w:pos="1871"/>
          <w:tab w:val="left" w:pos="2268"/>
        </w:tabs>
        <w:overflowPunct w:val="0"/>
        <w:autoSpaceDE w:val="0"/>
        <w:autoSpaceDN w:val="0"/>
        <w:adjustRightInd w:val="0"/>
        <w:spacing w:before="120"/>
        <w:ind w:leftChars="0" w:left="709"/>
        <w:contextualSpacing/>
        <w:textAlignment w:val="baseline"/>
      </w:pPr>
      <w:r w:rsidRPr="00DD5D83">
        <w:lastRenderedPageBreak/>
        <w:t>The service area of the potentially affected GSO FSS, MSS network includes the territory of its notifying administration</w:t>
      </w:r>
    </w:p>
    <w:p w14:paraId="48B77BE7" w14:textId="31256336" w:rsidR="002572CB" w:rsidRDefault="002572CB" w:rsidP="002572CB">
      <w:pPr>
        <w:pStyle w:val="ListParagraph"/>
        <w:ind w:leftChars="0" w:left="1440"/>
        <w:jc w:val="both"/>
        <w:rPr>
          <w:color w:val="000000" w:themeColor="text1"/>
        </w:rPr>
      </w:pPr>
    </w:p>
    <w:p w14:paraId="025BEE14" w14:textId="77777777" w:rsidR="00F525ED" w:rsidRDefault="00F525ED" w:rsidP="002572CB">
      <w:pPr>
        <w:pStyle w:val="ListParagraph"/>
        <w:ind w:leftChars="0" w:left="1440"/>
        <w:jc w:val="both"/>
        <w:rPr>
          <w:color w:val="000000" w:themeColor="text1"/>
        </w:rPr>
      </w:pPr>
    </w:p>
    <w:p w14:paraId="60E7BC44" w14:textId="18BF12EB" w:rsidR="008742F3" w:rsidRDefault="008742F3" w:rsidP="008D382D">
      <w:pPr>
        <w:pStyle w:val="ListParagraph"/>
        <w:numPr>
          <w:ilvl w:val="0"/>
          <w:numId w:val="1"/>
        </w:numPr>
        <w:ind w:leftChars="0"/>
      </w:pPr>
      <w:r w:rsidRPr="008D7B74">
        <w:t xml:space="preserve">Issues </w:t>
      </w:r>
      <w:r w:rsidR="000B5983" w:rsidRPr="008D7B74">
        <w:t xml:space="preserve">which </w:t>
      </w:r>
      <w:r w:rsidRPr="008D7B74">
        <w:t xml:space="preserve">require </w:t>
      </w:r>
      <w:r w:rsidR="00D1517A" w:rsidRPr="008D7B74">
        <w:t>discussion at</w:t>
      </w:r>
      <w:r w:rsidRPr="008D7B74">
        <w:t xml:space="preserve"> AP</w:t>
      </w:r>
      <w:r w:rsidR="003346ED" w:rsidRPr="008D7B74">
        <w:t>T</w:t>
      </w:r>
      <w:r w:rsidRPr="008D7B74">
        <w:t xml:space="preserve"> Coordination </w:t>
      </w:r>
      <w:r w:rsidR="003346ED" w:rsidRPr="008D7B74">
        <w:t>M</w:t>
      </w:r>
      <w:r w:rsidRPr="008D7B74">
        <w:t>eeting</w:t>
      </w:r>
      <w:r w:rsidR="003346ED" w:rsidRPr="008D7B74">
        <w:t>s</w:t>
      </w:r>
      <w:r w:rsidR="00D1517A" w:rsidRPr="008D7B74">
        <w:t xml:space="preserve"> and seek guidance thereafter</w:t>
      </w:r>
      <w:r w:rsidR="0079456B">
        <w:t>:</w:t>
      </w:r>
    </w:p>
    <w:p w14:paraId="3A32B34D" w14:textId="0425F1E8" w:rsidR="00DD124E" w:rsidRDefault="00DD124E" w:rsidP="00DD124E">
      <w:pPr>
        <w:pStyle w:val="Reasons"/>
        <w:numPr>
          <w:ilvl w:val="0"/>
          <w:numId w:val="30"/>
        </w:numPr>
        <w:jc w:val="both"/>
      </w:pPr>
      <w:r>
        <w:t>P</w:t>
      </w:r>
      <w:r w:rsidRPr="00CB7ABD">
        <w:t>rotection criteria for sharing studies between two non-GSO space stations and interfered-with non-GSO FSS systems: I/N of 0 dB not to be exceeded more than 0.02% of the time, -6 dB no more than 0.6% of the time and -10.5 dB no more than 20% of the time</w:t>
      </w:r>
      <w:r>
        <w:t>.</w:t>
      </w:r>
    </w:p>
    <w:p w14:paraId="3E41BA62" w14:textId="53B68FC5" w:rsidR="00DD124E" w:rsidRPr="00CB7ABD" w:rsidRDefault="00DD124E" w:rsidP="001710E1">
      <w:pPr>
        <w:pStyle w:val="Reasons"/>
        <w:numPr>
          <w:ilvl w:val="0"/>
          <w:numId w:val="30"/>
        </w:numPr>
        <w:jc w:val="both"/>
      </w:pPr>
      <w:r>
        <w:t>N</w:t>
      </w:r>
      <w:r w:rsidRPr="00CB7ABD">
        <w:t xml:space="preserve">otifying administration of a non-GSO ISS system communicating with a non-GSO space station shall ensure that the equivalent power flux-density comply with the </w:t>
      </w:r>
      <w:proofErr w:type="spellStart"/>
      <w:r w:rsidRPr="00CB7ABD">
        <w:t>epfd</w:t>
      </w:r>
      <w:proofErr w:type="spellEnd"/>
      <w:r w:rsidRPr="00CB7ABD">
        <w:t xml:space="preserve"> limits contained in Article 22</w:t>
      </w:r>
      <w:r>
        <w:t>.</w:t>
      </w:r>
    </w:p>
    <w:p w14:paraId="682E89BA" w14:textId="08787481" w:rsidR="00DD124E" w:rsidRPr="00DD124E" w:rsidRDefault="00DD124E" w:rsidP="00DD124E">
      <w:pPr>
        <w:pStyle w:val="ListParagraph"/>
        <w:numPr>
          <w:ilvl w:val="0"/>
          <w:numId w:val="30"/>
        </w:numPr>
        <w:ind w:leftChars="0"/>
        <w:jc w:val="both"/>
        <w:rPr>
          <w:i/>
          <w:iCs/>
          <w:lang w:eastAsia="zh-CN"/>
        </w:rPr>
      </w:pPr>
      <w:r>
        <w:t>F</w:t>
      </w:r>
      <w:r w:rsidRPr="00CB7ABD">
        <w:t xml:space="preserve">or examination under No. </w:t>
      </w:r>
      <w:r w:rsidRPr="00DD124E">
        <w:rPr>
          <w:b/>
          <w:bCs/>
        </w:rPr>
        <w:t>11.31</w:t>
      </w:r>
      <w:r>
        <w:t xml:space="preserve">, </w:t>
      </w:r>
      <w:r w:rsidRPr="00CB7ABD">
        <w:t>until the methodology is developed, the Bureau shall issue a qualified favourable finding</w:t>
      </w:r>
      <w:r>
        <w:t xml:space="preserve">. </w:t>
      </w:r>
      <w:r w:rsidRPr="00CB7ABD">
        <w:t xml:space="preserve">When the methodology is available the Bureau shall review its finding under No. </w:t>
      </w:r>
      <w:r w:rsidRPr="00DD124E">
        <w:rPr>
          <w:b/>
          <w:bCs/>
        </w:rPr>
        <w:t>11.31</w:t>
      </w:r>
      <w:r w:rsidRPr="00CB7ABD">
        <w:t>.</w:t>
      </w:r>
    </w:p>
    <w:p w14:paraId="5C668B98" w14:textId="04134F77" w:rsidR="00DD124E" w:rsidRPr="00F8424B" w:rsidRDefault="00311A2C" w:rsidP="00DD124E">
      <w:pPr>
        <w:pStyle w:val="ListParagraph"/>
        <w:numPr>
          <w:ilvl w:val="0"/>
          <w:numId w:val="30"/>
        </w:numPr>
        <w:ind w:leftChars="0"/>
        <w:jc w:val="both"/>
        <w:rPr>
          <w:color w:val="000000" w:themeColor="text1"/>
        </w:rPr>
      </w:pPr>
      <w:r>
        <w:t>T</w:t>
      </w:r>
      <w:r w:rsidRPr="00CB7ABD">
        <w:t xml:space="preserve">he </w:t>
      </w:r>
      <w:r>
        <w:t>new conditions</w:t>
      </w:r>
      <w:r w:rsidR="00F8424B">
        <w:t xml:space="preserve">(Appendix -4 to Annex 5) </w:t>
      </w:r>
      <w:r>
        <w:t xml:space="preserve"> for the </w:t>
      </w:r>
      <w:r w:rsidRPr="00CB7ABD">
        <w:t xml:space="preserve">notifying administration of frequency assignments to the ISS GSO space stations </w:t>
      </w:r>
      <w:r w:rsidR="00F8424B">
        <w:t xml:space="preserve">to </w:t>
      </w:r>
      <w:r w:rsidRPr="00CB7ABD">
        <w:t>seek agreement from the notifying administration</w:t>
      </w:r>
      <w:r w:rsidRPr="00CB7ABD">
        <w:rPr>
          <w:lang w:val="en-US"/>
        </w:rPr>
        <w:t xml:space="preserve"> of the GSO FSS, MSS network</w:t>
      </w:r>
      <w:r w:rsidR="00F8424B">
        <w:rPr>
          <w:lang w:val="en-US"/>
        </w:rPr>
        <w:t>:</w:t>
      </w:r>
    </w:p>
    <w:p w14:paraId="46F8332D" w14:textId="7E07455E" w:rsidR="00F8424B" w:rsidRDefault="004E1AA5" w:rsidP="00F8424B">
      <w:pPr>
        <w:pStyle w:val="Reasons"/>
        <w:numPr>
          <w:ilvl w:val="0"/>
          <w:numId w:val="31"/>
        </w:numPr>
        <w:spacing w:before="0"/>
        <w:jc w:val="both"/>
      </w:pPr>
      <w:r>
        <w:t xml:space="preserve"> </w:t>
      </w:r>
      <w:r w:rsidR="00F8424B" w:rsidRPr="00CB7ABD">
        <w:t xml:space="preserve">The date of receipt under No. </w:t>
      </w:r>
      <w:r w:rsidR="00F8424B" w:rsidRPr="00CB7ABD">
        <w:rPr>
          <w:b/>
          <w:bCs/>
        </w:rPr>
        <w:t>9.6</w:t>
      </w:r>
      <w:r w:rsidR="00F8424B" w:rsidRPr="00CB7ABD">
        <w:t xml:space="preserve"> of the frequency assignments to the</w:t>
      </w:r>
      <w:r w:rsidR="00F8424B">
        <w:t xml:space="preserve"> </w:t>
      </w:r>
      <w:r w:rsidR="00F8424B" w:rsidRPr="00CB7ABD">
        <w:t>GSO</w:t>
      </w:r>
      <w:r>
        <w:t xml:space="preserve"> </w:t>
      </w:r>
      <w:r w:rsidR="00F8424B" w:rsidRPr="00CB7ABD">
        <w:t>FSS, MSS network is before the date of recording of the ISS frequency assignments in the MIFR, and;</w:t>
      </w:r>
    </w:p>
    <w:p w14:paraId="6652E5C7" w14:textId="77FD2BFF" w:rsidR="00F8424B" w:rsidRPr="00CB7ABD" w:rsidRDefault="004E1AA5" w:rsidP="00F8424B">
      <w:pPr>
        <w:pStyle w:val="Reasons"/>
        <w:numPr>
          <w:ilvl w:val="0"/>
          <w:numId w:val="31"/>
        </w:numPr>
        <w:spacing w:before="0"/>
        <w:jc w:val="both"/>
      </w:pPr>
      <w:r>
        <w:t xml:space="preserve"> </w:t>
      </w:r>
      <w:r w:rsidR="00F8424B" w:rsidRPr="00CB7ABD">
        <w:t>Orbital separation of less than or equal to two degrees</w:t>
      </w:r>
      <w:r w:rsidR="00F8424B">
        <w:t>.</w:t>
      </w:r>
      <w:r w:rsidR="00F8424B" w:rsidRPr="00CB7ABD">
        <w:t xml:space="preserve"> </w:t>
      </w:r>
    </w:p>
    <w:p w14:paraId="4E4132A7" w14:textId="3CDF4ECB" w:rsidR="00F8424B" w:rsidRPr="00F8424B" w:rsidRDefault="004E1AA5" w:rsidP="00F8424B">
      <w:pPr>
        <w:pStyle w:val="Reasons"/>
        <w:numPr>
          <w:ilvl w:val="0"/>
          <w:numId w:val="31"/>
        </w:numPr>
        <w:spacing w:before="0"/>
        <w:jc w:val="both"/>
      </w:pPr>
      <w:r>
        <w:t xml:space="preserve"> </w:t>
      </w:r>
      <w:r w:rsidR="00F8424B" w:rsidRPr="00CB7ABD">
        <w:t xml:space="preserve">The maximum off-axis </w:t>
      </w:r>
      <w:proofErr w:type="spellStart"/>
      <w:r w:rsidR="00F8424B" w:rsidRPr="00CB7ABD">
        <w:t>e.i.r.p</w:t>
      </w:r>
      <w:proofErr w:type="spellEnd"/>
      <w:r w:rsidR="00F8424B" w:rsidRPr="00CB7ABD">
        <w:t>. spectral density the non GSO ISS space</w:t>
      </w:r>
      <w:r>
        <w:t xml:space="preserve"> </w:t>
      </w:r>
      <w:r w:rsidR="00F8424B" w:rsidRPr="00CB7ABD">
        <w:t xml:space="preserve">station towards the affected GSO FSS, MSS space station exceeds −65 +29-25*log(Ɵ) </w:t>
      </w:r>
      <w:proofErr w:type="spellStart"/>
      <w:r w:rsidR="00F8424B" w:rsidRPr="00CB7ABD">
        <w:t>dBW</w:t>
      </w:r>
      <w:proofErr w:type="spellEnd"/>
      <w:r w:rsidR="00F8424B" w:rsidRPr="00CB7ABD">
        <w:t xml:space="preserve">/Hz, where Ɵ is the topocentric angular separation </w:t>
      </w:r>
    </w:p>
    <w:p w14:paraId="754572BF" w14:textId="77777777" w:rsidR="00DD124E" w:rsidRDefault="00DD124E" w:rsidP="00F8424B"/>
    <w:p w14:paraId="01CDA46F" w14:textId="693812B4" w:rsidR="00010A96" w:rsidRDefault="00F8424B" w:rsidP="00E55A2A">
      <w:pPr>
        <w:pStyle w:val="ListParagraph"/>
        <w:numPr>
          <w:ilvl w:val="0"/>
          <w:numId w:val="30"/>
        </w:numPr>
        <w:ind w:leftChars="0"/>
        <w:jc w:val="both"/>
      </w:pPr>
      <w:r>
        <w:t>I</w:t>
      </w:r>
      <w:r w:rsidRPr="00CB7ABD">
        <w:t xml:space="preserve">n case of unresolved </w:t>
      </w:r>
      <w:r w:rsidRPr="00F8424B">
        <w:t xml:space="preserve">harmful </w:t>
      </w:r>
      <w:r w:rsidRPr="00CB7ABD">
        <w:t>interference, the BR shall submit the case to the subsequent meeting of the Radio Regulations Board for review and necessary actions</w:t>
      </w:r>
    </w:p>
    <w:p w14:paraId="18BE293D" w14:textId="77777777" w:rsidR="009E4649" w:rsidRDefault="009E4649" w:rsidP="009E4649">
      <w:pPr>
        <w:pStyle w:val="ListParagraph"/>
        <w:ind w:leftChars="0" w:left="360"/>
      </w:pPr>
    </w:p>
    <w:p w14:paraId="1B65AE19" w14:textId="72B521DE" w:rsidR="00C82B13" w:rsidRPr="008D7B74" w:rsidRDefault="00C82B13" w:rsidP="00C82B13">
      <w:r w:rsidRPr="008D7B74">
        <w:rPr>
          <w:i/>
        </w:rPr>
        <w:t xml:space="preserve">Note: Coordinators </w:t>
      </w:r>
      <w:r w:rsidR="009E27EC" w:rsidRPr="008D7B74">
        <w:rPr>
          <w:i/>
        </w:rPr>
        <w:t>are</w:t>
      </w:r>
      <w:r w:rsidRPr="008D7B74">
        <w:rPr>
          <w:i/>
        </w:rPr>
        <w:t xml:space="preserve"> encouraged to conduct informal consultation with interested APT Members on the issues/topics under no. </w:t>
      </w:r>
      <w:r w:rsidR="00550E88" w:rsidRPr="008D7B74">
        <w:rPr>
          <w:i/>
        </w:rPr>
        <w:t xml:space="preserve">2 </w:t>
      </w:r>
      <w:r w:rsidRPr="008D7B74">
        <w:rPr>
          <w:i/>
        </w:rPr>
        <w:t>and inform the outcomes of consultation to the Coordination Meeting</w:t>
      </w:r>
      <w:r w:rsidR="003346ED" w:rsidRPr="008D7B74">
        <w:t>.</w:t>
      </w:r>
      <w:r w:rsidR="003346ED" w:rsidRPr="008D7B74">
        <w:rPr>
          <w:i/>
          <w:iCs/>
        </w:rPr>
        <w:t xml:space="preserve"> Coordinators can also</w:t>
      </w:r>
      <w:bookmarkStart w:id="0" w:name="_GoBack"/>
      <w:bookmarkEnd w:id="0"/>
      <w:r w:rsidR="003346ED" w:rsidRPr="008D7B74">
        <w:rPr>
          <w:i/>
          <w:iCs/>
        </w:rPr>
        <w:t xml:space="preserve"> organize coordination meetings on the respective agenda items whenever necessary.   </w:t>
      </w:r>
      <w:r w:rsidRPr="008D7B74">
        <w:t xml:space="preserve">  </w:t>
      </w:r>
    </w:p>
    <w:sectPr w:rsidR="00C82B13" w:rsidRPr="008D7B74"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A68CF" w14:textId="77777777" w:rsidR="00597C9B" w:rsidRDefault="00597C9B" w:rsidP="00D1517A">
      <w:r>
        <w:separator/>
      </w:r>
    </w:p>
  </w:endnote>
  <w:endnote w:type="continuationSeparator" w:id="0">
    <w:p w14:paraId="5C01C672" w14:textId="77777777" w:rsidR="00597C9B" w:rsidRDefault="00597C9B" w:rsidP="00D1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37F30" w14:textId="77777777" w:rsidR="00597C9B" w:rsidRDefault="00597C9B" w:rsidP="00D1517A">
      <w:r>
        <w:separator/>
      </w:r>
    </w:p>
  </w:footnote>
  <w:footnote w:type="continuationSeparator" w:id="0">
    <w:p w14:paraId="547952C7" w14:textId="77777777" w:rsidR="00597C9B" w:rsidRDefault="00597C9B" w:rsidP="00D15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853"/>
    <w:multiLevelType w:val="hybridMultilevel"/>
    <w:tmpl w:val="ACBA0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67B6A"/>
    <w:multiLevelType w:val="hybridMultilevel"/>
    <w:tmpl w:val="AC42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A52A0"/>
    <w:multiLevelType w:val="hybridMultilevel"/>
    <w:tmpl w:val="20BE8C88"/>
    <w:lvl w:ilvl="0" w:tplc="04090017">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3" w15:restartNumberingAfterBreak="0">
    <w:nsid w:val="065F1A22"/>
    <w:multiLevelType w:val="hybridMultilevel"/>
    <w:tmpl w:val="902C67D0"/>
    <w:lvl w:ilvl="0" w:tplc="04090001">
      <w:start w:val="1"/>
      <w:numFmt w:val="bullet"/>
      <w:lvlText w:val=""/>
      <w:lvlJc w:val="left"/>
      <w:pPr>
        <w:ind w:left="2200" w:hanging="360"/>
      </w:pPr>
      <w:rPr>
        <w:rFonts w:ascii="Symbol" w:hAnsi="Symbol" w:hint="default"/>
      </w:rPr>
    </w:lvl>
    <w:lvl w:ilvl="1" w:tplc="04090003" w:tentative="1">
      <w:start w:val="1"/>
      <w:numFmt w:val="bullet"/>
      <w:lvlText w:val="o"/>
      <w:lvlJc w:val="left"/>
      <w:pPr>
        <w:ind w:left="2920" w:hanging="360"/>
      </w:pPr>
      <w:rPr>
        <w:rFonts w:ascii="Courier New" w:hAnsi="Courier New" w:cs="Courier New" w:hint="default"/>
      </w:rPr>
    </w:lvl>
    <w:lvl w:ilvl="2" w:tplc="04090005" w:tentative="1">
      <w:start w:val="1"/>
      <w:numFmt w:val="bullet"/>
      <w:lvlText w:val=""/>
      <w:lvlJc w:val="left"/>
      <w:pPr>
        <w:ind w:left="3640" w:hanging="360"/>
      </w:pPr>
      <w:rPr>
        <w:rFonts w:ascii="Wingdings" w:hAnsi="Wingdings" w:hint="default"/>
      </w:rPr>
    </w:lvl>
    <w:lvl w:ilvl="3" w:tplc="04090001" w:tentative="1">
      <w:start w:val="1"/>
      <w:numFmt w:val="bullet"/>
      <w:lvlText w:val=""/>
      <w:lvlJc w:val="left"/>
      <w:pPr>
        <w:ind w:left="4360" w:hanging="360"/>
      </w:pPr>
      <w:rPr>
        <w:rFonts w:ascii="Symbol" w:hAnsi="Symbol" w:hint="default"/>
      </w:rPr>
    </w:lvl>
    <w:lvl w:ilvl="4" w:tplc="04090003" w:tentative="1">
      <w:start w:val="1"/>
      <w:numFmt w:val="bullet"/>
      <w:lvlText w:val="o"/>
      <w:lvlJc w:val="left"/>
      <w:pPr>
        <w:ind w:left="5080" w:hanging="360"/>
      </w:pPr>
      <w:rPr>
        <w:rFonts w:ascii="Courier New" w:hAnsi="Courier New" w:cs="Courier New" w:hint="default"/>
      </w:rPr>
    </w:lvl>
    <w:lvl w:ilvl="5" w:tplc="04090005" w:tentative="1">
      <w:start w:val="1"/>
      <w:numFmt w:val="bullet"/>
      <w:lvlText w:val=""/>
      <w:lvlJc w:val="left"/>
      <w:pPr>
        <w:ind w:left="5800" w:hanging="360"/>
      </w:pPr>
      <w:rPr>
        <w:rFonts w:ascii="Wingdings" w:hAnsi="Wingdings" w:hint="default"/>
      </w:rPr>
    </w:lvl>
    <w:lvl w:ilvl="6" w:tplc="04090001" w:tentative="1">
      <w:start w:val="1"/>
      <w:numFmt w:val="bullet"/>
      <w:lvlText w:val=""/>
      <w:lvlJc w:val="left"/>
      <w:pPr>
        <w:ind w:left="6520" w:hanging="360"/>
      </w:pPr>
      <w:rPr>
        <w:rFonts w:ascii="Symbol" w:hAnsi="Symbol" w:hint="default"/>
      </w:rPr>
    </w:lvl>
    <w:lvl w:ilvl="7" w:tplc="04090003" w:tentative="1">
      <w:start w:val="1"/>
      <w:numFmt w:val="bullet"/>
      <w:lvlText w:val="o"/>
      <w:lvlJc w:val="left"/>
      <w:pPr>
        <w:ind w:left="7240" w:hanging="360"/>
      </w:pPr>
      <w:rPr>
        <w:rFonts w:ascii="Courier New" w:hAnsi="Courier New" w:cs="Courier New" w:hint="default"/>
      </w:rPr>
    </w:lvl>
    <w:lvl w:ilvl="8" w:tplc="04090005" w:tentative="1">
      <w:start w:val="1"/>
      <w:numFmt w:val="bullet"/>
      <w:lvlText w:val=""/>
      <w:lvlJc w:val="left"/>
      <w:pPr>
        <w:ind w:left="7960" w:hanging="360"/>
      </w:pPr>
      <w:rPr>
        <w:rFonts w:ascii="Wingdings" w:hAnsi="Wingdings" w:hint="default"/>
      </w:rPr>
    </w:lvl>
  </w:abstractNum>
  <w:abstractNum w:abstractNumId="4" w15:restartNumberingAfterBreak="0">
    <w:nsid w:val="06674CD0"/>
    <w:multiLevelType w:val="hybridMultilevel"/>
    <w:tmpl w:val="2466A56E"/>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5" w15:restartNumberingAfterBreak="0">
    <w:nsid w:val="0AE118D5"/>
    <w:multiLevelType w:val="hybridMultilevel"/>
    <w:tmpl w:val="96C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03D69"/>
    <w:multiLevelType w:val="hybridMultilevel"/>
    <w:tmpl w:val="34726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FA00C4"/>
    <w:multiLevelType w:val="hybridMultilevel"/>
    <w:tmpl w:val="3BB26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E75B5"/>
    <w:multiLevelType w:val="hybridMultilevel"/>
    <w:tmpl w:val="2F42471C"/>
    <w:lvl w:ilvl="0" w:tplc="08090001">
      <w:start w:val="1"/>
      <w:numFmt w:val="bullet"/>
      <w:lvlText w:val=""/>
      <w:lvlJc w:val="left"/>
      <w:pPr>
        <w:ind w:left="2344"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9" w15:restartNumberingAfterBreak="0">
    <w:nsid w:val="1A8F1CFC"/>
    <w:multiLevelType w:val="hybridMultilevel"/>
    <w:tmpl w:val="3A4841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AA84D7F"/>
    <w:multiLevelType w:val="hybridMultilevel"/>
    <w:tmpl w:val="66E01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C94DFB"/>
    <w:multiLevelType w:val="hybridMultilevel"/>
    <w:tmpl w:val="C5B8C48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EB4CF0"/>
    <w:multiLevelType w:val="multilevel"/>
    <w:tmpl w:val="B51A4224"/>
    <w:lvl w:ilvl="0">
      <w:start w:val="1"/>
      <w:numFmt w:val="decimal"/>
      <w:lvlText w:val="%1."/>
      <w:lvlJc w:val="left"/>
      <w:pPr>
        <w:ind w:left="760" w:hanging="360"/>
      </w:pPr>
      <w:rPr>
        <w:rFonts w:hint="default"/>
      </w:rPr>
    </w:lvl>
    <w:lvl w:ilvl="1">
      <w:start w:val="17"/>
      <w:numFmt w:val="decimal"/>
      <w:isLgl/>
      <w:lvlText w:val="%1.%2"/>
      <w:lvlJc w:val="left"/>
      <w:pPr>
        <w:ind w:left="840" w:hanging="44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13" w15:restartNumberingAfterBreak="0">
    <w:nsid w:val="2D7D6244"/>
    <w:multiLevelType w:val="hybridMultilevel"/>
    <w:tmpl w:val="2A7C4A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D7A09"/>
    <w:multiLevelType w:val="hybridMultilevel"/>
    <w:tmpl w:val="EC005012"/>
    <w:lvl w:ilvl="0" w:tplc="08090005">
      <w:start w:val="1"/>
      <w:numFmt w:val="bullet"/>
      <w:lvlText w:val=""/>
      <w:lvlJc w:val="left"/>
      <w:pPr>
        <w:ind w:left="1678" w:hanging="360"/>
      </w:pPr>
      <w:rPr>
        <w:rFonts w:ascii="Wingdings" w:hAnsi="Wingdings" w:cs="Wingdings" w:hint="default"/>
      </w:rPr>
    </w:lvl>
    <w:lvl w:ilvl="1" w:tplc="04090003" w:tentative="1">
      <w:start w:val="1"/>
      <w:numFmt w:val="bullet"/>
      <w:lvlText w:val="o"/>
      <w:lvlJc w:val="left"/>
      <w:pPr>
        <w:ind w:left="2398" w:hanging="360"/>
      </w:pPr>
      <w:rPr>
        <w:rFonts w:ascii="Courier New" w:hAnsi="Courier New" w:cs="Courier New" w:hint="default"/>
      </w:rPr>
    </w:lvl>
    <w:lvl w:ilvl="2" w:tplc="04090005" w:tentative="1">
      <w:start w:val="1"/>
      <w:numFmt w:val="bullet"/>
      <w:lvlText w:val=""/>
      <w:lvlJc w:val="left"/>
      <w:pPr>
        <w:ind w:left="3118" w:hanging="360"/>
      </w:pPr>
      <w:rPr>
        <w:rFonts w:ascii="Wingdings" w:hAnsi="Wingdings" w:hint="default"/>
      </w:rPr>
    </w:lvl>
    <w:lvl w:ilvl="3" w:tplc="04090001" w:tentative="1">
      <w:start w:val="1"/>
      <w:numFmt w:val="bullet"/>
      <w:lvlText w:val=""/>
      <w:lvlJc w:val="left"/>
      <w:pPr>
        <w:ind w:left="3838" w:hanging="360"/>
      </w:pPr>
      <w:rPr>
        <w:rFonts w:ascii="Symbol" w:hAnsi="Symbol" w:hint="default"/>
      </w:rPr>
    </w:lvl>
    <w:lvl w:ilvl="4" w:tplc="04090003" w:tentative="1">
      <w:start w:val="1"/>
      <w:numFmt w:val="bullet"/>
      <w:lvlText w:val="o"/>
      <w:lvlJc w:val="left"/>
      <w:pPr>
        <w:ind w:left="4558" w:hanging="360"/>
      </w:pPr>
      <w:rPr>
        <w:rFonts w:ascii="Courier New" w:hAnsi="Courier New" w:cs="Courier New" w:hint="default"/>
      </w:rPr>
    </w:lvl>
    <w:lvl w:ilvl="5" w:tplc="04090005" w:tentative="1">
      <w:start w:val="1"/>
      <w:numFmt w:val="bullet"/>
      <w:lvlText w:val=""/>
      <w:lvlJc w:val="left"/>
      <w:pPr>
        <w:ind w:left="5278" w:hanging="360"/>
      </w:pPr>
      <w:rPr>
        <w:rFonts w:ascii="Wingdings" w:hAnsi="Wingdings" w:hint="default"/>
      </w:rPr>
    </w:lvl>
    <w:lvl w:ilvl="6" w:tplc="04090001" w:tentative="1">
      <w:start w:val="1"/>
      <w:numFmt w:val="bullet"/>
      <w:lvlText w:val=""/>
      <w:lvlJc w:val="left"/>
      <w:pPr>
        <w:ind w:left="5998" w:hanging="360"/>
      </w:pPr>
      <w:rPr>
        <w:rFonts w:ascii="Symbol" w:hAnsi="Symbol" w:hint="default"/>
      </w:rPr>
    </w:lvl>
    <w:lvl w:ilvl="7" w:tplc="04090003" w:tentative="1">
      <w:start w:val="1"/>
      <w:numFmt w:val="bullet"/>
      <w:lvlText w:val="o"/>
      <w:lvlJc w:val="left"/>
      <w:pPr>
        <w:ind w:left="6718" w:hanging="360"/>
      </w:pPr>
      <w:rPr>
        <w:rFonts w:ascii="Courier New" w:hAnsi="Courier New" w:cs="Courier New" w:hint="default"/>
      </w:rPr>
    </w:lvl>
    <w:lvl w:ilvl="8" w:tplc="04090005" w:tentative="1">
      <w:start w:val="1"/>
      <w:numFmt w:val="bullet"/>
      <w:lvlText w:val=""/>
      <w:lvlJc w:val="left"/>
      <w:pPr>
        <w:ind w:left="7438" w:hanging="360"/>
      </w:pPr>
      <w:rPr>
        <w:rFonts w:ascii="Wingdings" w:hAnsi="Wingdings" w:hint="default"/>
      </w:rPr>
    </w:lvl>
  </w:abstractNum>
  <w:abstractNum w:abstractNumId="15" w15:restartNumberingAfterBreak="0">
    <w:nsid w:val="346B2D26"/>
    <w:multiLevelType w:val="hybridMultilevel"/>
    <w:tmpl w:val="A920A438"/>
    <w:lvl w:ilvl="0" w:tplc="04090001">
      <w:start w:val="1"/>
      <w:numFmt w:val="bullet"/>
      <w:lvlText w:val=""/>
      <w:lvlJc w:val="left"/>
      <w:pPr>
        <w:ind w:left="958" w:hanging="360"/>
      </w:pPr>
      <w:rPr>
        <w:rFonts w:ascii="Symbol" w:hAnsi="Symbol" w:hint="default"/>
      </w:rPr>
    </w:lvl>
    <w:lvl w:ilvl="1" w:tplc="04090003">
      <w:start w:val="1"/>
      <w:numFmt w:val="bullet"/>
      <w:lvlText w:val="o"/>
      <w:lvlJc w:val="left"/>
      <w:pPr>
        <w:ind w:left="1678" w:hanging="360"/>
      </w:pPr>
      <w:rPr>
        <w:rFonts w:ascii="Courier New" w:hAnsi="Courier New" w:cs="Courier New" w:hint="default"/>
      </w:rPr>
    </w:lvl>
    <w:lvl w:ilvl="2" w:tplc="04090005">
      <w:start w:val="1"/>
      <w:numFmt w:val="bullet"/>
      <w:lvlText w:val=""/>
      <w:lvlJc w:val="left"/>
      <w:pPr>
        <w:ind w:left="2398" w:hanging="360"/>
      </w:pPr>
      <w:rPr>
        <w:rFonts w:ascii="Wingdings" w:hAnsi="Wingdings" w:hint="default"/>
      </w:rPr>
    </w:lvl>
    <w:lvl w:ilvl="3" w:tplc="0409000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6" w15:restartNumberingAfterBreak="0">
    <w:nsid w:val="39EA7B3D"/>
    <w:multiLevelType w:val="hybridMultilevel"/>
    <w:tmpl w:val="51B0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D3DD5"/>
    <w:multiLevelType w:val="hybridMultilevel"/>
    <w:tmpl w:val="C27A4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069E2"/>
    <w:multiLevelType w:val="hybridMultilevel"/>
    <w:tmpl w:val="AD8C85FA"/>
    <w:lvl w:ilvl="0" w:tplc="04090017">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9" w15:restartNumberingAfterBreak="0">
    <w:nsid w:val="45406970"/>
    <w:multiLevelType w:val="hybridMultilevel"/>
    <w:tmpl w:val="844E0B56"/>
    <w:lvl w:ilvl="0" w:tplc="04090017">
      <w:start w:val="1"/>
      <w:numFmt w:val="lowerLetter"/>
      <w:lvlText w:val="%1)"/>
      <w:lvlJc w:val="left"/>
      <w:pPr>
        <w:ind w:left="1319" w:hanging="360"/>
      </w:p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20" w15:restartNumberingAfterBreak="0">
    <w:nsid w:val="59457B49"/>
    <w:multiLevelType w:val="multilevel"/>
    <w:tmpl w:val="BD4CA936"/>
    <w:lvl w:ilvl="0">
      <w:start w:val="1"/>
      <w:numFmt w:val="decimal"/>
      <w:lvlText w:val="%1."/>
      <w:lvlJc w:val="left"/>
      <w:pPr>
        <w:ind w:left="760" w:hanging="360"/>
      </w:pPr>
      <w:rPr>
        <w:rFonts w:hint="default"/>
      </w:rPr>
    </w:lvl>
    <w:lvl w:ilvl="1">
      <w:start w:val="17"/>
      <w:numFmt w:val="decimal"/>
      <w:isLgl/>
      <w:lvlText w:val="%1.%2"/>
      <w:lvlJc w:val="left"/>
      <w:pPr>
        <w:ind w:left="840" w:hanging="44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21" w15:restartNumberingAfterBreak="0">
    <w:nsid w:val="668C4B21"/>
    <w:multiLevelType w:val="hybridMultilevel"/>
    <w:tmpl w:val="EF18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82255"/>
    <w:multiLevelType w:val="hybridMultilevel"/>
    <w:tmpl w:val="7C10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4C058A"/>
    <w:multiLevelType w:val="multilevel"/>
    <w:tmpl w:val="74A09F82"/>
    <w:lvl w:ilvl="0">
      <w:start w:val="9"/>
      <w:numFmt w:val="decimal"/>
      <w:lvlText w:val="%1"/>
      <w:lvlJc w:val="left"/>
      <w:pPr>
        <w:ind w:left="420" w:hanging="420"/>
      </w:pPr>
      <w:rPr>
        <w:rFonts w:hint="default"/>
      </w:rPr>
    </w:lvl>
    <w:lvl w:ilvl="1">
      <w:start w:val="2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CA248AD"/>
    <w:multiLevelType w:val="hybridMultilevel"/>
    <w:tmpl w:val="CA523D70"/>
    <w:lvl w:ilvl="0" w:tplc="04090001">
      <w:start w:val="1"/>
      <w:numFmt w:val="bullet"/>
      <w:lvlText w:val=""/>
      <w:lvlJc w:val="left"/>
      <w:pPr>
        <w:ind w:left="598" w:hanging="360"/>
      </w:pPr>
      <w:rPr>
        <w:rFonts w:ascii="Symbol" w:hAnsi="Symbol"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25" w15:restartNumberingAfterBreak="0">
    <w:nsid w:val="6EB326AD"/>
    <w:multiLevelType w:val="hybridMultilevel"/>
    <w:tmpl w:val="0EE2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03E99"/>
    <w:multiLevelType w:val="hybridMultilevel"/>
    <w:tmpl w:val="61DA4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940051"/>
    <w:multiLevelType w:val="hybridMultilevel"/>
    <w:tmpl w:val="948C35A0"/>
    <w:lvl w:ilvl="0" w:tplc="04090001">
      <w:start w:val="1"/>
      <w:numFmt w:val="bullet"/>
      <w:lvlText w:val=""/>
      <w:lvlJc w:val="left"/>
      <w:pPr>
        <w:ind w:left="598" w:hanging="360"/>
      </w:pPr>
      <w:rPr>
        <w:rFonts w:ascii="Symbol" w:hAnsi="Symbol"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28" w15:restartNumberingAfterBreak="0">
    <w:nsid w:val="74135E4B"/>
    <w:multiLevelType w:val="hybridMultilevel"/>
    <w:tmpl w:val="81D42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8103F6A"/>
    <w:multiLevelType w:val="hybridMultilevel"/>
    <w:tmpl w:val="E958869C"/>
    <w:lvl w:ilvl="0" w:tplc="04090001">
      <w:start w:val="1"/>
      <w:numFmt w:val="bullet"/>
      <w:lvlText w:val=""/>
      <w:lvlJc w:val="left"/>
      <w:pPr>
        <w:ind w:left="958" w:hanging="360"/>
      </w:pPr>
      <w:rPr>
        <w:rFonts w:ascii="Symbol" w:hAnsi="Symbol" w:hint="default"/>
      </w:rPr>
    </w:lvl>
    <w:lvl w:ilvl="1" w:tplc="04090003">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0" w15:restartNumberingAfterBreak="0">
    <w:nsid w:val="7DD477CA"/>
    <w:multiLevelType w:val="hybridMultilevel"/>
    <w:tmpl w:val="9F8E70E0"/>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1" w15:restartNumberingAfterBreak="0">
    <w:nsid w:val="7E0960FD"/>
    <w:multiLevelType w:val="hybridMultilevel"/>
    <w:tmpl w:val="2448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4"/>
  </w:num>
  <w:num w:numId="4">
    <w:abstractNumId w:val="28"/>
  </w:num>
  <w:num w:numId="5">
    <w:abstractNumId w:val="27"/>
  </w:num>
  <w:num w:numId="6">
    <w:abstractNumId w:val="24"/>
  </w:num>
  <w:num w:numId="7">
    <w:abstractNumId w:val="1"/>
  </w:num>
  <w:num w:numId="8">
    <w:abstractNumId w:val="30"/>
  </w:num>
  <w:num w:numId="9">
    <w:abstractNumId w:val="31"/>
  </w:num>
  <w:num w:numId="10">
    <w:abstractNumId w:val="29"/>
  </w:num>
  <w:num w:numId="11">
    <w:abstractNumId w:val="5"/>
  </w:num>
  <w:num w:numId="12">
    <w:abstractNumId w:val="11"/>
  </w:num>
  <w:num w:numId="13">
    <w:abstractNumId w:val="13"/>
  </w:num>
  <w:num w:numId="14">
    <w:abstractNumId w:val="25"/>
  </w:num>
  <w:num w:numId="15">
    <w:abstractNumId w:val="17"/>
  </w:num>
  <w:num w:numId="16">
    <w:abstractNumId w:val="26"/>
  </w:num>
  <w:num w:numId="17">
    <w:abstractNumId w:val="7"/>
  </w:num>
  <w:num w:numId="18">
    <w:abstractNumId w:val="21"/>
  </w:num>
  <w:num w:numId="19">
    <w:abstractNumId w:val="22"/>
  </w:num>
  <w:num w:numId="20">
    <w:abstractNumId w:val="16"/>
  </w:num>
  <w:num w:numId="21">
    <w:abstractNumId w:val="12"/>
  </w:num>
  <w:num w:numId="22">
    <w:abstractNumId w:val="6"/>
  </w:num>
  <w:num w:numId="23">
    <w:abstractNumId w:val="10"/>
  </w:num>
  <w:num w:numId="24">
    <w:abstractNumId w:val="9"/>
  </w:num>
  <w:num w:numId="25">
    <w:abstractNumId w:val="23"/>
  </w:num>
  <w:num w:numId="26">
    <w:abstractNumId w:val="0"/>
  </w:num>
  <w:num w:numId="27">
    <w:abstractNumId w:val="4"/>
  </w:num>
  <w:num w:numId="28">
    <w:abstractNumId w:val="8"/>
  </w:num>
  <w:num w:numId="29">
    <w:abstractNumId w:val="2"/>
  </w:num>
  <w:num w:numId="30">
    <w:abstractNumId w:val="18"/>
  </w:num>
  <w:num w:numId="31">
    <w:abstractNumId w:val="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00956"/>
    <w:rsid w:val="000060BC"/>
    <w:rsid w:val="00010A96"/>
    <w:rsid w:val="0004039E"/>
    <w:rsid w:val="0004163C"/>
    <w:rsid w:val="000612C7"/>
    <w:rsid w:val="000750EC"/>
    <w:rsid w:val="00086F2C"/>
    <w:rsid w:val="000954EB"/>
    <w:rsid w:val="000A0D23"/>
    <w:rsid w:val="000A682B"/>
    <w:rsid w:val="000B0F2C"/>
    <w:rsid w:val="000B5983"/>
    <w:rsid w:val="000F6F7A"/>
    <w:rsid w:val="00100B0E"/>
    <w:rsid w:val="00106268"/>
    <w:rsid w:val="001134AC"/>
    <w:rsid w:val="00124550"/>
    <w:rsid w:val="00140221"/>
    <w:rsid w:val="00143D2F"/>
    <w:rsid w:val="001554AF"/>
    <w:rsid w:val="00164B74"/>
    <w:rsid w:val="0017709C"/>
    <w:rsid w:val="001A1F17"/>
    <w:rsid w:val="001C07DC"/>
    <w:rsid w:val="001C274B"/>
    <w:rsid w:val="001D1373"/>
    <w:rsid w:val="001E0789"/>
    <w:rsid w:val="00227087"/>
    <w:rsid w:val="002317D0"/>
    <w:rsid w:val="002500A3"/>
    <w:rsid w:val="002572CB"/>
    <w:rsid w:val="00283D24"/>
    <w:rsid w:val="00291E89"/>
    <w:rsid w:val="002E5199"/>
    <w:rsid w:val="002E5632"/>
    <w:rsid w:val="002E79F1"/>
    <w:rsid w:val="0030220F"/>
    <w:rsid w:val="00306694"/>
    <w:rsid w:val="00306771"/>
    <w:rsid w:val="00311A2C"/>
    <w:rsid w:val="00312053"/>
    <w:rsid w:val="003346ED"/>
    <w:rsid w:val="00373595"/>
    <w:rsid w:val="00394D8D"/>
    <w:rsid w:val="003B65DF"/>
    <w:rsid w:val="003C7D4C"/>
    <w:rsid w:val="003E063B"/>
    <w:rsid w:val="0040578F"/>
    <w:rsid w:val="004466A8"/>
    <w:rsid w:val="004517E8"/>
    <w:rsid w:val="0045436D"/>
    <w:rsid w:val="00461D9D"/>
    <w:rsid w:val="00464A4B"/>
    <w:rsid w:val="004A3E94"/>
    <w:rsid w:val="004A574B"/>
    <w:rsid w:val="004C1E59"/>
    <w:rsid w:val="004D42F0"/>
    <w:rsid w:val="004D7CC0"/>
    <w:rsid w:val="004E1AA5"/>
    <w:rsid w:val="004E6869"/>
    <w:rsid w:val="004F3763"/>
    <w:rsid w:val="004F6359"/>
    <w:rsid w:val="00507CCD"/>
    <w:rsid w:val="00550E88"/>
    <w:rsid w:val="005755E6"/>
    <w:rsid w:val="00580B2B"/>
    <w:rsid w:val="00587EED"/>
    <w:rsid w:val="00597C9B"/>
    <w:rsid w:val="005A2F84"/>
    <w:rsid w:val="005B20AA"/>
    <w:rsid w:val="005C5BFE"/>
    <w:rsid w:val="005D3428"/>
    <w:rsid w:val="005D6FB1"/>
    <w:rsid w:val="0060048D"/>
    <w:rsid w:val="00613BF1"/>
    <w:rsid w:val="00622AC6"/>
    <w:rsid w:val="0062336E"/>
    <w:rsid w:val="00627862"/>
    <w:rsid w:val="00646D2B"/>
    <w:rsid w:val="00652F11"/>
    <w:rsid w:val="006544AD"/>
    <w:rsid w:val="0066379E"/>
    <w:rsid w:val="00675E27"/>
    <w:rsid w:val="00677357"/>
    <w:rsid w:val="00682F33"/>
    <w:rsid w:val="00683E04"/>
    <w:rsid w:val="00694191"/>
    <w:rsid w:val="006C640B"/>
    <w:rsid w:val="006D6FE2"/>
    <w:rsid w:val="00753DD0"/>
    <w:rsid w:val="0076369D"/>
    <w:rsid w:val="00775FFC"/>
    <w:rsid w:val="007859B0"/>
    <w:rsid w:val="0079456B"/>
    <w:rsid w:val="007B7B65"/>
    <w:rsid w:val="007C0700"/>
    <w:rsid w:val="007C0BD2"/>
    <w:rsid w:val="007C4951"/>
    <w:rsid w:val="007E7C9F"/>
    <w:rsid w:val="00820B47"/>
    <w:rsid w:val="00834F76"/>
    <w:rsid w:val="008500DA"/>
    <w:rsid w:val="008742F3"/>
    <w:rsid w:val="00887778"/>
    <w:rsid w:val="00887BA8"/>
    <w:rsid w:val="008973AB"/>
    <w:rsid w:val="008B1572"/>
    <w:rsid w:val="008C1DDE"/>
    <w:rsid w:val="008C7B33"/>
    <w:rsid w:val="008D382D"/>
    <w:rsid w:val="008D7B74"/>
    <w:rsid w:val="008E4834"/>
    <w:rsid w:val="008E5F99"/>
    <w:rsid w:val="008F16EF"/>
    <w:rsid w:val="00905A31"/>
    <w:rsid w:val="00977C8C"/>
    <w:rsid w:val="009A1800"/>
    <w:rsid w:val="009C6F82"/>
    <w:rsid w:val="009E27EC"/>
    <w:rsid w:val="009E4649"/>
    <w:rsid w:val="009F062B"/>
    <w:rsid w:val="00A03707"/>
    <w:rsid w:val="00A760EB"/>
    <w:rsid w:val="00A848C5"/>
    <w:rsid w:val="00A90F69"/>
    <w:rsid w:val="00AA3216"/>
    <w:rsid w:val="00AC461C"/>
    <w:rsid w:val="00AF3428"/>
    <w:rsid w:val="00AF5DD7"/>
    <w:rsid w:val="00B309DF"/>
    <w:rsid w:val="00B37B5D"/>
    <w:rsid w:val="00B445FF"/>
    <w:rsid w:val="00B51B0B"/>
    <w:rsid w:val="00B654E5"/>
    <w:rsid w:val="00B76CC3"/>
    <w:rsid w:val="00B834B4"/>
    <w:rsid w:val="00B91A61"/>
    <w:rsid w:val="00BB78FC"/>
    <w:rsid w:val="00BC35E6"/>
    <w:rsid w:val="00BD62D6"/>
    <w:rsid w:val="00C11F53"/>
    <w:rsid w:val="00C15EBD"/>
    <w:rsid w:val="00C3164A"/>
    <w:rsid w:val="00C352AD"/>
    <w:rsid w:val="00C672EC"/>
    <w:rsid w:val="00C74B84"/>
    <w:rsid w:val="00C750CB"/>
    <w:rsid w:val="00C82B13"/>
    <w:rsid w:val="00C857DA"/>
    <w:rsid w:val="00C8669B"/>
    <w:rsid w:val="00C90095"/>
    <w:rsid w:val="00CA6D9E"/>
    <w:rsid w:val="00CB3C15"/>
    <w:rsid w:val="00CB7ABD"/>
    <w:rsid w:val="00CC7FB3"/>
    <w:rsid w:val="00CD71B8"/>
    <w:rsid w:val="00CE18AC"/>
    <w:rsid w:val="00CF0F2C"/>
    <w:rsid w:val="00D059B6"/>
    <w:rsid w:val="00D1517A"/>
    <w:rsid w:val="00D22F2F"/>
    <w:rsid w:val="00D318E3"/>
    <w:rsid w:val="00D3376A"/>
    <w:rsid w:val="00D4573D"/>
    <w:rsid w:val="00D4604D"/>
    <w:rsid w:val="00D66280"/>
    <w:rsid w:val="00D815BC"/>
    <w:rsid w:val="00DA1527"/>
    <w:rsid w:val="00DA490F"/>
    <w:rsid w:val="00DD124E"/>
    <w:rsid w:val="00DD5D83"/>
    <w:rsid w:val="00DE30EE"/>
    <w:rsid w:val="00DF75EF"/>
    <w:rsid w:val="00E0396B"/>
    <w:rsid w:val="00E11D02"/>
    <w:rsid w:val="00E17B83"/>
    <w:rsid w:val="00E43695"/>
    <w:rsid w:val="00E4535E"/>
    <w:rsid w:val="00E50F16"/>
    <w:rsid w:val="00E55A2A"/>
    <w:rsid w:val="00E64D5D"/>
    <w:rsid w:val="00E919F0"/>
    <w:rsid w:val="00EA1B34"/>
    <w:rsid w:val="00EA272E"/>
    <w:rsid w:val="00EB3700"/>
    <w:rsid w:val="00EC68D5"/>
    <w:rsid w:val="00EF03D1"/>
    <w:rsid w:val="00EF3E3C"/>
    <w:rsid w:val="00EF5AB1"/>
    <w:rsid w:val="00EF7969"/>
    <w:rsid w:val="00F02465"/>
    <w:rsid w:val="00F069E7"/>
    <w:rsid w:val="00F12589"/>
    <w:rsid w:val="00F32AE0"/>
    <w:rsid w:val="00F45C7E"/>
    <w:rsid w:val="00F47622"/>
    <w:rsid w:val="00F525ED"/>
    <w:rsid w:val="00F8424B"/>
    <w:rsid w:val="00F9328C"/>
    <w:rsid w:val="00FB4B0C"/>
    <w:rsid w:val="00FC3BCB"/>
    <w:rsid w:val="00FD0CD0"/>
    <w:rsid w:val="00FD1098"/>
    <w:rsid w:val="00FF20DE"/>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36D"/>
    <w:pPr>
      <w:spacing w:after="0" w:line="240" w:lineRule="auto"/>
      <w:jc w:val="left"/>
    </w:pPr>
    <w:rPr>
      <w:rFonts w:ascii="Times New Roman" w:eastAsia="Times New Roman" w:hAnsi="Times New Roman" w:cs="Times New Roman"/>
      <w:kern w:val="0"/>
      <w:sz w:val="24"/>
      <w:szCs w:val="24"/>
      <w:lang w:val="en-IN" w:eastAsia="en-US" w:bidi="m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pPr>
  </w:style>
  <w:style w:type="character" w:customStyle="1" w:styleId="FooterChar">
    <w:name w:val="Footer Char"/>
    <w:basedOn w:val="DefaultParagraphFont"/>
    <w:link w:val="Footer"/>
    <w:uiPriority w:val="99"/>
    <w:rsid w:val="00D1517A"/>
  </w:style>
  <w:style w:type="character" w:styleId="Hyperlink">
    <w:name w:val="Hyperlink"/>
    <w:basedOn w:val="DefaultParagraphFont"/>
    <w:uiPriority w:val="99"/>
    <w:unhideWhenUsed/>
    <w:rsid w:val="00FF20DE"/>
    <w:rPr>
      <w:color w:val="0563C1" w:themeColor="hyperlink"/>
      <w:u w:val="single"/>
    </w:rPr>
  </w:style>
  <w:style w:type="paragraph" w:customStyle="1" w:styleId="Tablehead">
    <w:name w:val="Table_head"/>
    <w:basedOn w:val="Normal"/>
    <w:link w:val="TableheadChar"/>
    <w:qFormat/>
    <w:rsid w:val="00FF20DE"/>
    <w:pPr>
      <w:keepNext/>
      <w:tabs>
        <w:tab w:val="left" w:pos="1134"/>
        <w:tab w:val="left" w:pos="1871"/>
        <w:tab w:val="left" w:pos="2268"/>
      </w:tabs>
      <w:overflowPunct w:val="0"/>
      <w:adjustRightInd w:val="0"/>
      <w:spacing w:before="80" w:after="80"/>
      <w:jc w:val="center"/>
      <w:textAlignment w:val="baseline"/>
    </w:pPr>
    <w:rPr>
      <w:rFonts w:ascii="Times New Roman Bold" w:eastAsia="MS Mincho" w:hAnsi="Times New Roman Bold" w:cs="Times New Roman Bold"/>
      <w:b/>
      <w:szCs w:val="20"/>
      <w:lang w:val="en-GB"/>
    </w:rPr>
  </w:style>
  <w:style w:type="paragraph" w:customStyle="1" w:styleId="Tabletext">
    <w:name w:val="Table_text"/>
    <w:basedOn w:val="Normal"/>
    <w:link w:val="TabletextChar"/>
    <w:qFormat/>
    <w:rsid w:val="00FF20D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djustRightInd w:val="0"/>
      <w:spacing w:before="40" w:after="40"/>
      <w:textAlignment w:val="baseline"/>
    </w:pPr>
    <w:rPr>
      <w:rFonts w:eastAsia="MS Mincho"/>
      <w:szCs w:val="20"/>
      <w:lang w:val="en-GB"/>
    </w:rPr>
  </w:style>
  <w:style w:type="table" w:styleId="TableGrid">
    <w:name w:val="Table Grid"/>
    <w:basedOn w:val="TableNormal"/>
    <w:rsid w:val="00FF20DE"/>
    <w:pPr>
      <w:spacing w:after="0" w:line="240" w:lineRule="auto"/>
      <w:jc w:val="left"/>
    </w:pPr>
    <w:rPr>
      <w:rFonts w:ascii="Times" w:eastAsia="MS Mincho" w:hAnsi="Times"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19F0"/>
    <w:pPr>
      <w:autoSpaceDE w:val="0"/>
      <w:autoSpaceDN w:val="0"/>
      <w:adjustRightInd w:val="0"/>
      <w:spacing w:after="0" w:line="240" w:lineRule="auto"/>
      <w:jc w:val="left"/>
    </w:pPr>
    <w:rPr>
      <w:rFonts w:ascii="Calibri" w:hAnsi="Calibri" w:cs="Calibri"/>
      <w:color w:val="000000"/>
      <w:kern w:val="0"/>
      <w:sz w:val="24"/>
      <w:szCs w:val="24"/>
    </w:rPr>
  </w:style>
  <w:style w:type="paragraph" w:styleId="NormalWeb">
    <w:name w:val="Normal (Web)"/>
    <w:basedOn w:val="Normal"/>
    <w:uiPriority w:val="99"/>
    <w:semiHidden/>
    <w:unhideWhenUsed/>
    <w:rsid w:val="00E43695"/>
    <w:pPr>
      <w:spacing w:before="100" w:beforeAutospacing="1" w:after="100" w:afterAutospacing="1"/>
    </w:pPr>
  </w:style>
  <w:style w:type="paragraph" w:customStyle="1" w:styleId="Note">
    <w:name w:val="Note"/>
    <w:basedOn w:val="Normal"/>
    <w:next w:val="Normal"/>
    <w:link w:val="NoteChar"/>
    <w:qFormat/>
    <w:rsid w:val="00464A4B"/>
    <w:pPr>
      <w:tabs>
        <w:tab w:val="left" w:pos="284"/>
        <w:tab w:val="left" w:pos="1134"/>
        <w:tab w:val="left" w:pos="1871"/>
        <w:tab w:val="left" w:pos="2268"/>
      </w:tabs>
      <w:overflowPunct w:val="0"/>
      <w:adjustRightInd w:val="0"/>
      <w:spacing w:before="80"/>
      <w:textAlignment w:val="baseline"/>
    </w:pPr>
    <w:rPr>
      <w:szCs w:val="20"/>
      <w:lang w:val="en-GB"/>
    </w:rPr>
  </w:style>
  <w:style w:type="character" w:customStyle="1" w:styleId="NoteChar">
    <w:name w:val="Note Char"/>
    <w:basedOn w:val="DefaultParagraphFont"/>
    <w:link w:val="Note"/>
    <w:qFormat/>
    <w:locked/>
    <w:rsid w:val="00464A4B"/>
    <w:rPr>
      <w:rFonts w:ascii="Times New Roman" w:eastAsia="Times New Roman" w:hAnsi="Times New Roman" w:cs="Times New Roman"/>
      <w:kern w:val="0"/>
      <w:sz w:val="24"/>
      <w:szCs w:val="20"/>
      <w:lang w:val="en-GB" w:eastAsia="en-US"/>
    </w:rPr>
  </w:style>
  <w:style w:type="character" w:customStyle="1" w:styleId="TableheadChar">
    <w:name w:val="Table_head Char"/>
    <w:basedOn w:val="DefaultParagraphFont"/>
    <w:link w:val="Tablehead"/>
    <w:qFormat/>
    <w:locked/>
    <w:rsid w:val="00A848C5"/>
    <w:rPr>
      <w:rFonts w:ascii="Times New Roman Bold" w:eastAsia="MS Mincho" w:hAnsi="Times New Roman Bold" w:cs="Times New Roman Bold"/>
      <w:b/>
      <w:kern w:val="0"/>
      <w:sz w:val="24"/>
      <w:szCs w:val="20"/>
      <w:lang w:val="en-GB" w:eastAsia="en-US" w:bidi="ml-IN"/>
    </w:rPr>
  </w:style>
  <w:style w:type="character" w:customStyle="1" w:styleId="TabletextChar">
    <w:name w:val="Table_text Char"/>
    <w:basedOn w:val="DefaultParagraphFont"/>
    <w:link w:val="Tabletext"/>
    <w:qFormat/>
    <w:rsid w:val="00A848C5"/>
    <w:rPr>
      <w:rFonts w:ascii="Times New Roman" w:eastAsia="MS Mincho" w:hAnsi="Times New Roman" w:cs="Times New Roman"/>
      <w:kern w:val="0"/>
      <w:sz w:val="24"/>
      <w:szCs w:val="20"/>
      <w:lang w:val="en-GB" w:eastAsia="en-US" w:bidi="ml-IN"/>
    </w:rPr>
  </w:style>
  <w:style w:type="paragraph" w:styleId="BalloonText">
    <w:name w:val="Balloon Text"/>
    <w:basedOn w:val="Normal"/>
    <w:link w:val="BalloonTextChar"/>
    <w:uiPriority w:val="99"/>
    <w:semiHidden/>
    <w:unhideWhenUsed/>
    <w:rsid w:val="00A848C5"/>
    <w:rPr>
      <w:sz w:val="18"/>
      <w:szCs w:val="18"/>
    </w:rPr>
  </w:style>
  <w:style w:type="character" w:customStyle="1" w:styleId="BalloonTextChar">
    <w:name w:val="Balloon Text Char"/>
    <w:basedOn w:val="DefaultParagraphFont"/>
    <w:link w:val="BalloonText"/>
    <w:uiPriority w:val="99"/>
    <w:semiHidden/>
    <w:rsid w:val="00A848C5"/>
    <w:rPr>
      <w:rFonts w:ascii="Times New Roman" w:eastAsia="Times New Roman" w:hAnsi="Times New Roman" w:cs="Times New Roman"/>
      <w:kern w:val="0"/>
      <w:sz w:val="18"/>
      <w:szCs w:val="18"/>
      <w:lang w:val="en-IN" w:eastAsia="en-US" w:bidi="ml-IN"/>
    </w:rPr>
  </w:style>
  <w:style w:type="character" w:styleId="FootnoteReference">
    <w:name w:val="footnote reference"/>
    <w:aliases w:val="Appel note de bas de p,Footnote Reference/,(NECG) Footnote Reference,-E Funotenzeichen,A,FR,Footnote Reference1,Ref,Style 1,Style 12,Style 124,Style 13,Style 17,Style 20,Style 3,Style 34,Style 4,Style 6,Style 7,Style 9,callout,fr"/>
    <w:basedOn w:val="DefaultParagraphFont"/>
    <w:qFormat/>
    <w:rsid w:val="00DA1527"/>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
    <w:basedOn w:val="Normal"/>
    <w:link w:val="FootnoteTextChar"/>
    <w:qFormat/>
    <w:rsid w:val="00DA1527"/>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
    <w:basedOn w:val="DefaultParagraphFont"/>
    <w:link w:val="FootnoteText"/>
    <w:qFormat/>
    <w:rsid w:val="00DA1527"/>
    <w:rPr>
      <w:rFonts w:ascii="Times New Roman" w:eastAsia="Times New Roman" w:hAnsi="Times New Roman" w:cs="Times New Roman"/>
      <w:kern w:val="0"/>
      <w:sz w:val="24"/>
      <w:szCs w:val="20"/>
      <w:lang w:val="en-GB" w:eastAsia="en-US"/>
    </w:rPr>
  </w:style>
  <w:style w:type="paragraph" w:customStyle="1" w:styleId="TableNo">
    <w:name w:val="Table_No"/>
    <w:basedOn w:val="Normal"/>
    <w:next w:val="Normal"/>
    <w:rsid w:val="00DA1527"/>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bidi="ar-SA"/>
    </w:rPr>
  </w:style>
  <w:style w:type="paragraph" w:customStyle="1" w:styleId="Headingb">
    <w:name w:val="Heading_b"/>
    <w:basedOn w:val="Normal"/>
    <w:next w:val="Normal"/>
    <w:qFormat/>
    <w:rsid w:val="00DA1527"/>
    <w:pPr>
      <w:keepNext/>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fr-CH" w:bidi="ar-SA"/>
    </w:rPr>
  </w:style>
  <w:style w:type="character" w:customStyle="1" w:styleId="Artref">
    <w:name w:val="Art_ref"/>
    <w:basedOn w:val="DefaultParagraphFont"/>
    <w:qFormat/>
    <w:rsid w:val="00DA1527"/>
  </w:style>
  <w:style w:type="paragraph" w:customStyle="1" w:styleId="AnnexNo">
    <w:name w:val="Annex_No"/>
    <w:basedOn w:val="Normal"/>
    <w:next w:val="Normal"/>
    <w:rsid w:val="00CB7ABD"/>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bidi="ar-SA"/>
    </w:rPr>
  </w:style>
  <w:style w:type="paragraph" w:customStyle="1" w:styleId="Reasons">
    <w:name w:val="Reasons"/>
    <w:basedOn w:val="Normal"/>
    <w:qFormat/>
    <w:rsid w:val="00CB7ABD"/>
    <w:pPr>
      <w:tabs>
        <w:tab w:val="left" w:pos="1134"/>
        <w:tab w:val="left" w:pos="1588"/>
        <w:tab w:val="left" w:pos="1985"/>
      </w:tabs>
      <w:overflowPunct w:val="0"/>
      <w:autoSpaceDE w:val="0"/>
      <w:autoSpaceDN w:val="0"/>
      <w:adjustRightInd w:val="0"/>
      <w:spacing w:before="120"/>
      <w:textAlignment w:val="baseline"/>
    </w:pPr>
    <w:rPr>
      <w:szCs w:val="20"/>
      <w:lang w:val="en-GB" w:bidi="ar-SA"/>
    </w:rPr>
  </w:style>
  <w:style w:type="paragraph" w:customStyle="1" w:styleId="Call">
    <w:name w:val="Call"/>
    <w:basedOn w:val="Normal"/>
    <w:next w:val="Normal"/>
    <w:rsid w:val="00CB7ABD"/>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80128">
      <w:bodyDiv w:val="1"/>
      <w:marLeft w:val="0"/>
      <w:marRight w:val="0"/>
      <w:marTop w:val="0"/>
      <w:marBottom w:val="0"/>
      <w:divBdr>
        <w:top w:val="none" w:sz="0" w:space="0" w:color="auto"/>
        <w:left w:val="none" w:sz="0" w:space="0" w:color="auto"/>
        <w:bottom w:val="none" w:sz="0" w:space="0" w:color="auto"/>
        <w:right w:val="none" w:sz="0" w:space="0" w:color="auto"/>
      </w:divBdr>
    </w:div>
    <w:div w:id="400714342">
      <w:bodyDiv w:val="1"/>
      <w:marLeft w:val="0"/>
      <w:marRight w:val="0"/>
      <w:marTop w:val="0"/>
      <w:marBottom w:val="0"/>
      <w:divBdr>
        <w:top w:val="none" w:sz="0" w:space="0" w:color="auto"/>
        <w:left w:val="none" w:sz="0" w:space="0" w:color="auto"/>
        <w:bottom w:val="none" w:sz="0" w:space="0" w:color="auto"/>
        <w:right w:val="none" w:sz="0" w:space="0" w:color="auto"/>
      </w:divBdr>
    </w:div>
    <w:div w:id="932668928">
      <w:bodyDiv w:val="1"/>
      <w:marLeft w:val="0"/>
      <w:marRight w:val="0"/>
      <w:marTop w:val="0"/>
      <w:marBottom w:val="0"/>
      <w:divBdr>
        <w:top w:val="none" w:sz="0" w:space="0" w:color="auto"/>
        <w:left w:val="none" w:sz="0" w:space="0" w:color="auto"/>
        <w:bottom w:val="none" w:sz="0" w:space="0" w:color="auto"/>
        <w:right w:val="none" w:sz="0" w:space="0" w:color="auto"/>
      </w:divBdr>
    </w:div>
    <w:div w:id="1345279551">
      <w:bodyDiv w:val="1"/>
      <w:marLeft w:val="0"/>
      <w:marRight w:val="0"/>
      <w:marTop w:val="0"/>
      <w:marBottom w:val="0"/>
      <w:divBdr>
        <w:top w:val="none" w:sz="0" w:space="0" w:color="auto"/>
        <w:left w:val="none" w:sz="0" w:space="0" w:color="auto"/>
        <w:bottom w:val="none" w:sz="0" w:space="0" w:color="auto"/>
        <w:right w:val="none" w:sz="0" w:space="0" w:color="auto"/>
      </w:divBdr>
    </w:div>
    <w:div w:id="187735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613</TotalTime>
  <Pages>3</Pages>
  <Words>1114</Words>
  <Characters>6351</Characters>
  <Application>Microsoft Office Word</Application>
  <DocSecurity>0</DocSecurity>
  <Lines>52</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Sreekumar</cp:lastModifiedBy>
  <cp:revision>82</cp:revision>
  <dcterms:created xsi:type="dcterms:W3CDTF">2023-11-15T04:04:00Z</dcterms:created>
  <dcterms:modified xsi:type="dcterms:W3CDTF">2023-12-10T19:51:00Z</dcterms:modified>
</cp:coreProperties>
</file>