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600F" w14:textId="4D611C14" w:rsidR="00D059B6" w:rsidRPr="005755E6" w:rsidRDefault="00EA1B34" w:rsidP="000B59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5E6">
        <w:rPr>
          <w:rFonts w:ascii="Times New Roman" w:hAnsi="Times New Roman" w:cs="Times New Roman"/>
          <w:b/>
          <w:sz w:val="28"/>
          <w:szCs w:val="28"/>
        </w:rPr>
        <w:t xml:space="preserve">Report of the Agenda Item Coordinator during </w:t>
      </w:r>
      <w:r w:rsidR="003346ED">
        <w:rPr>
          <w:rFonts w:ascii="Times New Roman" w:hAnsi="Times New Roman" w:cs="Times New Roman"/>
          <w:b/>
          <w:sz w:val="28"/>
          <w:szCs w:val="28"/>
        </w:rPr>
        <w:t>WRC-</w:t>
      </w:r>
      <w:r w:rsidR="00550E88">
        <w:rPr>
          <w:rFonts w:ascii="Times New Roman" w:hAnsi="Times New Roman" w:cs="Times New Roman"/>
          <w:b/>
          <w:sz w:val="28"/>
          <w:szCs w:val="28"/>
        </w:rPr>
        <w:t>23</w:t>
      </w:r>
    </w:p>
    <w:p w14:paraId="462DA8EE" w14:textId="1CB9AAFA" w:rsidR="00366956" w:rsidRDefault="00366956" w:rsidP="003669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and email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Coordinator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14:paraId="60B69C7C" w14:textId="77777777" w:rsidR="00366956" w:rsidRDefault="00366956" w:rsidP="003669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Reza Naderi </w:t>
      </w:r>
      <w:proofErr w:type="spellStart"/>
      <w:r>
        <w:rPr>
          <w:rFonts w:ascii="Times New Roman" w:hAnsi="Times New Roman" w:cs="Times New Roman"/>
          <w:sz w:val="24"/>
          <w:szCs w:val="24"/>
        </w:rPr>
        <w:t>Jahromi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reza.naderi.j@gmail.com</w:t>
        </w:r>
      </w:hyperlink>
      <w:r>
        <w:rPr>
          <w:rFonts w:ascii="Times New Roman" w:hAnsi="Times New Roman" w:cs="Times New Roman"/>
          <w:sz w:val="24"/>
          <w:szCs w:val="24"/>
          <w:rtl/>
        </w:rPr>
        <w:t>(</w:t>
      </w:r>
    </w:p>
    <w:p w14:paraId="589E1BB5" w14:textId="2B2E79C4" w:rsidR="00366956" w:rsidRDefault="00366956" w:rsidP="003669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Date: </w:t>
      </w:r>
      <w:r w:rsidR="00F3556E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02AE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.2023</w:t>
      </w:r>
    </w:p>
    <w:p w14:paraId="17E39891" w14:textId="77777777" w:rsidR="000B5983" w:rsidRPr="00AC461C" w:rsidRDefault="000B5983" w:rsidP="00086F2C">
      <w:pPr>
        <w:rPr>
          <w:rFonts w:ascii="Times New Roman" w:hAnsi="Times New Roman" w:cs="Times New Roman"/>
          <w:sz w:val="24"/>
          <w:szCs w:val="24"/>
        </w:rPr>
      </w:pPr>
    </w:p>
    <w:p w14:paraId="687826B4" w14:textId="77777777" w:rsidR="00366956" w:rsidRDefault="00217FDA" w:rsidP="00217FDA">
      <w:pPr>
        <w:pStyle w:val="ListParagraph"/>
        <w:numPr>
          <w:ilvl w:val="0"/>
          <w:numId w:val="8"/>
        </w:numPr>
        <w:spacing w:line="256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217FDA">
        <w:rPr>
          <w:rFonts w:ascii="Times New Roman" w:hAnsi="Times New Roman" w:cs="Times New Roman"/>
          <w:sz w:val="24"/>
          <w:szCs w:val="24"/>
        </w:rPr>
        <w:t>Agenda Item 1.19 (new FSS Allocation in Region 2 in 17.3GHz – 17.7GHz)</w:t>
      </w:r>
    </w:p>
    <w:p w14:paraId="2E3AE5B2" w14:textId="21D86686" w:rsidR="00217FDA" w:rsidRDefault="00217FDA" w:rsidP="00366956">
      <w:pPr>
        <w:pStyle w:val="ListParagraph"/>
        <w:spacing w:line="256" w:lineRule="auto"/>
        <w:ind w:leftChars="0" w:left="720"/>
        <w:rPr>
          <w:rFonts w:ascii="Times New Roman" w:hAnsi="Times New Roman" w:cs="Times New Roman"/>
          <w:sz w:val="24"/>
          <w:szCs w:val="24"/>
        </w:rPr>
      </w:pPr>
      <w:r w:rsidRPr="00217FDA">
        <w:rPr>
          <w:rFonts w:ascii="Times New Roman" w:hAnsi="Times New Roman" w:cs="Times New Roman"/>
          <w:sz w:val="24"/>
          <w:szCs w:val="24"/>
        </w:rPr>
        <w:t>APT Common Proposal:  </w:t>
      </w:r>
      <w:hyperlink r:id="rId8" w:history="1">
        <w:r w:rsidRPr="00217FDA">
          <w:rPr>
            <w:rStyle w:val="Hyperlink"/>
            <w:rFonts w:ascii="Times New Roman" w:hAnsi="Times New Roman" w:cs="Times New Roman"/>
            <w:sz w:val="24"/>
            <w:szCs w:val="24"/>
          </w:rPr>
          <w:t>Doc. WRC-23/62 (Add.19)</w:t>
        </w:r>
      </w:hyperlink>
      <w:r w:rsidRPr="00217F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E1F7E1" w14:textId="77777777" w:rsidR="00074FB4" w:rsidRPr="00074FB4" w:rsidRDefault="00074FB4" w:rsidP="00074FB4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33783930" w14:textId="4C3B1BC0" w:rsidR="004D7CC0" w:rsidRDefault="00EA1B34" w:rsidP="001B532B">
      <w:pPr>
        <w:pStyle w:val="ListParagraph"/>
        <w:numPr>
          <w:ilvl w:val="0"/>
          <w:numId w:val="8"/>
        </w:numPr>
        <w:spacing w:line="256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 xml:space="preserve">Topics proposed by other regional Groups or ITU Members which are </w:t>
      </w:r>
      <w:r w:rsidR="008742F3" w:rsidRPr="00AC461C">
        <w:rPr>
          <w:rFonts w:ascii="Times New Roman" w:hAnsi="Times New Roman" w:cs="Times New Roman"/>
          <w:sz w:val="24"/>
          <w:szCs w:val="24"/>
        </w:rPr>
        <w:t xml:space="preserve">not included in </w:t>
      </w:r>
      <w:r w:rsidR="00550E88">
        <w:rPr>
          <w:rFonts w:ascii="Times New Roman" w:hAnsi="Times New Roman" w:cs="Times New Roman"/>
          <w:sz w:val="24"/>
          <w:szCs w:val="24"/>
        </w:rPr>
        <w:t>ACP and APT View</w:t>
      </w:r>
    </w:p>
    <w:p w14:paraId="12A47F90" w14:textId="77777777" w:rsidR="00074FB4" w:rsidRPr="00074FB4" w:rsidRDefault="00074FB4" w:rsidP="00074FB4">
      <w:pPr>
        <w:spacing w:line="25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B87CF1D" w14:textId="31E4DA7A" w:rsidR="00EA1B34" w:rsidRDefault="008742F3" w:rsidP="00217FDA">
      <w:pPr>
        <w:pStyle w:val="ListParagraph"/>
        <w:numPr>
          <w:ilvl w:val="0"/>
          <w:numId w:val="8"/>
        </w:numPr>
        <w:spacing w:line="256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217FDA">
        <w:rPr>
          <w:rFonts w:ascii="Times New Roman" w:hAnsi="Times New Roman" w:cs="Times New Roman"/>
          <w:sz w:val="24"/>
          <w:szCs w:val="24"/>
        </w:rPr>
        <w:t xml:space="preserve">Progress of discussion during </w:t>
      </w:r>
      <w:r w:rsidR="003346ED" w:rsidRPr="00217FDA">
        <w:rPr>
          <w:rFonts w:ascii="Times New Roman" w:hAnsi="Times New Roman" w:cs="Times New Roman"/>
          <w:sz w:val="24"/>
          <w:szCs w:val="24"/>
        </w:rPr>
        <w:t>WRC-</w:t>
      </w:r>
      <w:r w:rsidR="00550E88" w:rsidRPr="00217FDA">
        <w:rPr>
          <w:rFonts w:ascii="Times New Roman" w:hAnsi="Times New Roman" w:cs="Times New Roman"/>
          <w:sz w:val="24"/>
          <w:szCs w:val="24"/>
        </w:rPr>
        <w:t>23</w:t>
      </w:r>
      <w:r w:rsidR="003346ED" w:rsidRPr="00217FDA">
        <w:rPr>
          <w:rFonts w:ascii="Times New Roman" w:hAnsi="Times New Roman" w:cs="Times New Roman"/>
          <w:sz w:val="24"/>
          <w:szCs w:val="24"/>
        </w:rPr>
        <w:t xml:space="preserve"> </w:t>
      </w:r>
      <w:r w:rsidR="00D1517A" w:rsidRPr="00217FDA">
        <w:rPr>
          <w:rFonts w:ascii="Times New Roman" w:hAnsi="Times New Roman" w:cs="Times New Roman"/>
          <w:sz w:val="24"/>
          <w:szCs w:val="24"/>
        </w:rPr>
        <w:t>on the Agenda Item</w:t>
      </w:r>
    </w:p>
    <w:p w14:paraId="4E0FB17C" w14:textId="78947BED" w:rsidR="00973862" w:rsidRPr="00973862" w:rsidRDefault="003F6BFA" w:rsidP="00973862">
      <w:pPr>
        <w:pStyle w:val="ListParagraph"/>
        <w:spacing w:line="256" w:lineRule="auto"/>
        <w:ind w:leftChars="0"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3F6BFA">
        <w:rPr>
          <w:rFonts w:ascii="Times New Roman" w:hAnsi="Times New Roman" w:cs="Times New Roman"/>
          <w:sz w:val="24"/>
          <w:szCs w:val="24"/>
        </w:rPr>
        <w:t xml:space="preserve">Multiple </w:t>
      </w:r>
      <w:r w:rsidR="00A77E2D" w:rsidRPr="00A77E2D">
        <w:rPr>
          <w:rFonts w:ascii="Times New Roman" w:hAnsi="Times New Roman" w:cs="Times New Roman"/>
          <w:sz w:val="24"/>
          <w:szCs w:val="24"/>
        </w:rPr>
        <w:t xml:space="preserve">meetings were held on the morning and </w:t>
      </w:r>
      <w:r w:rsidR="00A77E2D" w:rsidRPr="00973862">
        <w:rPr>
          <w:rFonts w:ascii="Times New Roman" w:hAnsi="Times New Roman" w:cs="Times New Roman"/>
          <w:sz w:val="24"/>
          <w:szCs w:val="24"/>
        </w:rPr>
        <w:t>afternoon of Saturday, December 9th to discuss ongoing issues</w:t>
      </w:r>
      <w:r w:rsidRPr="00973862">
        <w:rPr>
          <w:rFonts w:ascii="Times New Roman" w:hAnsi="Times New Roman" w:cs="Times New Roman"/>
          <w:sz w:val="24"/>
          <w:szCs w:val="24"/>
        </w:rPr>
        <w:t xml:space="preserve">. </w:t>
      </w:r>
      <w:r w:rsidR="00A77E2D" w:rsidRPr="00973862">
        <w:rPr>
          <w:rFonts w:ascii="Times New Roman" w:hAnsi="Times New Roman" w:cs="Times New Roman"/>
          <w:sz w:val="24"/>
          <w:szCs w:val="24"/>
        </w:rPr>
        <w:t>Despite efforts,</w:t>
      </w:r>
      <w:r w:rsidRPr="00973862">
        <w:rPr>
          <w:rFonts w:ascii="Times New Roman" w:hAnsi="Times New Roman" w:cs="Times New Roman"/>
          <w:sz w:val="24"/>
          <w:szCs w:val="24"/>
        </w:rPr>
        <w:t xml:space="preserve"> the </w:t>
      </w:r>
      <w:r w:rsidR="00A77E2D" w:rsidRPr="00973862">
        <w:rPr>
          <w:rFonts w:ascii="Times New Roman" w:hAnsi="Times New Roman" w:cs="Times New Roman"/>
          <w:sz w:val="24"/>
          <w:szCs w:val="24"/>
        </w:rPr>
        <w:t>consensus</w:t>
      </w:r>
      <w:r w:rsidRPr="009738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7E2D" w:rsidRPr="00973862">
        <w:rPr>
          <w:rFonts w:ascii="Times New Roman" w:hAnsi="Times New Roman" w:cs="Times New Roman"/>
          <w:sz w:val="24"/>
          <w:szCs w:val="24"/>
        </w:rPr>
        <w:t>have</w:t>
      </w:r>
      <w:proofErr w:type="gramEnd"/>
      <w:r w:rsidR="00A77E2D" w:rsidRPr="00973862">
        <w:rPr>
          <w:rFonts w:ascii="Times New Roman" w:hAnsi="Times New Roman" w:cs="Times New Roman"/>
          <w:sz w:val="24"/>
          <w:szCs w:val="24"/>
        </w:rPr>
        <w:t xml:space="preserve"> not achieved on the unresolved issues,</w:t>
      </w:r>
      <w:r w:rsidRPr="00973862">
        <w:rPr>
          <w:rFonts w:ascii="Times New Roman" w:hAnsi="Times New Roman" w:cs="Times New Roman"/>
          <w:sz w:val="24"/>
          <w:szCs w:val="24"/>
        </w:rPr>
        <w:t xml:space="preserve"> </w:t>
      </w:r>
      <w:r w:rsidR="00A77E2D" w:rsidRPr="00973862">
        <w:rPr>
          <w:rFonts w:ascii="Times New Roman" w:hAnsi="Times New Roman" w:cs="Times New Roman"/>
          <w:sz w:val="24"/>
          <w:szCs w:val="24"/>
        </w:rPr>
        <w:t xml:space="preserve">the document </w:t>
      </w:r>
      <w:hyperlink r:id="rId9" w:history="1">
        <w:r w:rsidR="00973862" w:rsidRPr="00973862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DT/92(Rev.2)</w:t>
        </w:r>
      </w:hyperlink>
      <w:r w:rsidR="00A77E2D" w:rsidRPr="00973862">
        <w:rPr>
          <w:rFonts w:ascii="Times New Roman" w:hAnsi="Times New Roman" w:cs="Times New Roman"/>
          <w:sz w:val="24"/>
          <w:szCs w:val="24"/>
        </w:rPr>
        <w:t xml:space="preserve"> </w:t>
      </w:r>
      <w:r w:rsidR="00973862" w:rsidRPr="00973862">
        <w:rPr>
          <w:rFonts w:ascii="Times New Roman" w:hAnsi="Times New Roman" w:cs="Times New Roman"/>
          <w:sz w:val="24"/>
          <w:szCs w:val="24"/>
        </w:rPr>
        <w:t>presented in Working Group 5B on Sunday, December 10th. Accordingly, it was decided to forward this document, which contains two options and several square brackets, to committee 5 for further review.</w:t>
      </w:r>
    </w:p>
    <w:p w14:paraId="2158996E" w14:textId="355E1983" w:rsidR="00283184" w:rsidRPr="00973862" w:rsidRDefault="008742F3" w:rsidP="00283184">
      <w:pPr>
        <w:pStyle w:val="ListParagraph"/>
        <w:numPr>
          <w:ilvl w:val="0"/>
          <w:numId w:val="8"/>
        </w:numPr>
        <w:spacing w:line="256" w:lineRule="auto"/>
        <w:ind w:leftChars="0"/>
      </w:pPr>
      <w:r w:rsidRPr="00AC461C">
        <w:rPr>
          <w:rFonts w:ascii="Times New Roman" w:hAnsi="Times New Roman" w:cs="Times New Roman"/>
          <w:sz w:val="24"/>
          <w:szCs w:val="24"/>
        </w:rPr>
        <w:t xml:space="preserve">Issues </w:t>
      </w:r>
      <w:r w:rsidR="000B5983" w:rsidRPr="00AC461C">
        <w:rPr>
          <w:rFonts w:ascii="Times New Roman" w:hAnsi="Times New Roman" w:cs="Times New Roman"/>
          <w:sz w:val="24"/>
          <w:szCs w:val="24"/>
        </w:rPr>
        <w:t xml:space="preserve">which </w:t>
      </w:r>
      <w:r w:rsidRPr="00AC461C">
        <w:rPr>
          <w:rFonts w:ascii="Times New Roman" w:hAnsi="Times New Roman" w:cs="Times New Roman"/>
          <w:sz w:val="24"/>
          <w:szCs w:val="24"/>
        </w:rPr>
        <w:t xml:space="preserve">require </w:t>
      </w:r>
      <w:r w:rsidR="00D1517A" w:rsidRPr="00AC461C">
        <w:rPr>
          <w:rFonts w:ascii="Times New Roman" w:hAnsi="Times New Roman" w:cs="Times New Roman"/>
          <w:sz w:val="24"/>
          <w:szCs w:val="24"/>
        </w:rPr>
        <w:t>discussion at</w:t>
      </w:r>
      <w:r w:rsidRPr="00AC461C">
        <w:rPr>
          <w:rFonts w:ascii="Times New Roman" w:hAnsi="Times New Roman" w:cs="Times New Roman"/>
          <w:sz w:val="24"/>
          <w:szCs w:val="24"/>
        </w:rPr>
        <w:t xml:space="preserve"> AP</w:t>
      </w:r>
      <w:r w:rsidR="003346ED">
        <w:rPr>
          <w:rFonts w:ascii="Times New Roman" w:hAnsi="Times New Roman" w:cs="Times New Roman"/>
          <w:sz w:val="24"/>
          <w:szCs w:val="24"/>
        </w:rPr>
        <w:t>T</w:t>
      </w:r>
      <w:r w:rsidRPr="00AC461C">
        <w:rPr>
          <w:rFonts w:ascii="Times New Roman" w:hAnsi="Times New Roman" w:cs="Times New Roman"/>
          <w:sz w:val="24"/>
          <w:szCs w:val="24"/>
        </w:rPr>
        <w:t xml:space="preserve"> Coordination </w:t>
      </w:r>
      <w:r w:rsidR="003346ED">
        <w:rPr>
          <w:rFonts w:ascii="Times New Roman" w:hAnsi="Times New Roman" w:cs="Times New Roman"/>
          <w:sz w:val="24"/>
          <w:szCs w:val="24"/>
        </w:rPr>
        <w:t>M</w:t>
      </w:r>
      <w:r w:rsidRPr="00AC461C">
        <w:rPr>
          <w:rFonts w:ascii="Times New Roman" w:hAnsi="Times New Roman" w:cs="Times New Roman"/>
          <w:sz w:val="24"/>
          <w:szCs w:val="24"/>
        </w:rPr>
        <w:t>eeting</w:t>
      </w:r>
      <w:r w:rsidR="003346ED">
        <w:rPr>
          <w:rFonts w:ascii="Times New Roman" w:hAnsi="Times New Roman" w:cs="Times New Roman"/>
          <w:sz w:val="24"/>
          <w:szCs w:val="24"/>
        </w:rPr>
        <w:t>s</w:t>
      </w:r>
      <w:r w:rsidR="00D1517A" w:rsidRPr="00AC461C">
        <w:rPr>
          <w:rFonts w:ascii="Times New Roman" w:hAnsi="Times New Roman" w:cs="Times New Roman"/>
          <w:sz w:val="24"/>
          <w:szCs w:val="24"/>
        </w:rPr>
        <w:t xml:space="preserve"> and seek guidance thereafter</w:t>
      </w:r>
      <w:r w:rsidR="00B71D83">
        <w:rPr>
          <w:rFonts w:ascii="Times New Roman" w:hAnsi="Times New Roman" w:cs="Times New Roman"/>
          <w:sz w:val="24"/>
          <w:szCs w:val="24"/>
        </w:rPr>
        <w:t>.</w:t>
      </w:r>
    </w:p>
    <w:p w14:paraId="4B22FBE2" w14:textId="46D7ADDB" w:rsidR="00973862" w:rsidRPr="00973862" w:rsidRDefault="00973862" w:rsidP="00973862">
      <w:pPr>
        <w:pStyle w:val="ListParagraph"/>
        <w:numPr>
          <w:ilvl w:val="0"/>
          <w:numId w:val="21"/>
        </w:numPr>
        <w:spacing w:line="256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973862">
        <w:rPr>
          <w:rFonts w:ascii="Times New Roman" w:hAnsi="Times New Roman" w:cs="Times New Roman"/>
          <w:sz w:val="24"/>
          <w:szCs w:val="24"/>
        </w:rPr>
        <w:t>Confirming the APT Position on the current options:</w:t>
      </w:r>
    </w:p>
    <w:p w14:paraId="1825E5F8" w14:textId="3F511120" w:rsidR="00973862" w:rsidRPr="00891CFD" w:rsidRDefault="00973862" w:rsidP="003606EC">
      <w:pPr>
        <w:pStyle w:val="ListParagraph"/>
        <w:numPr>
          <w:ilvl w:val="0"/>
          <w:numId w:val="16"/>
        </w:numPr>
        <w:spacing w:line="256" w:lineRule="auto"/>
        <w:ind w:leftChars="0" w:left="810" w:hanging="270"/>
        <w:rPr>
          <w:rFonts w:ascii="Times New Roman" w:hAnsi="Times New Roman" w:cs="Times New Roman"/>
          <w:sz w:val="24"/>
          <w:szCs w:val="24"/>
        </w:rPr>
      </w:pPr>
      <w:r w:rsidRPr="00891CFD">
        <w:rPr>
          <w:rFonts w:ascii="Times New Roman" w:hAnsi="Times New Roman" w:cs="Times New Roman"/>
          <w:sz w:val="24"/>
          <w:szCs w:val="24"/>
        </w:rPr>
        <w:t xml:space="preserve">Option 1 </w:t>
      </w:r>
      <w:r w:rsidRPr="00891CFD">
        <w:rPr>
          <w:rFonts w:ascii="Times New Roman" w:hAnsi="Times New Roman" w:cs="Times New Roman"/>
          <w:b/>
          <w:bCs/>
          <w:sz w:val="24"/>
          <w:szCs w:val="24"/>
        </w:rPr>
        <w:t>both GSO and non GSO</w:t>
      </w:r>
      <w:r w:rsidRPr="00891CFD">
        <w:rPr>
          <w:rFonts w:ascii="Times New Roman" w:hAnsi="Times New Roman" w:cs="Times New Roman"/>
          <w:sz w:val="24"/>
          <w:szCs w:val="24"/>
        </w:rPr>
        <w:t xml:space="preserve">. </w:t>
      </w:r>
      <w:r w:rsidRPr="00973862">
        <w:rPr>
          <w:rFonts w:ascii="Times New Roman" w:hAnsi="Times New Roman" w:cs="Times New Roman"/>
          <w:sz w:val="24"/>
          <w:szCs w:val="24"/>
        </w:rPr>
        <w:t>(CITEL, CEPT)</w:t>
      </w:r>
    </w:p>
    <w:p w14:paraId="00F41EE8" w14:textId="65A0DD19" w:rsidR="00973862" w:rsidRDefault="00973862" w:rsidP="003606EC">
      <w:pPr>
        <w:pStyle w:val="ListParagraph"/>
        <w:numPr>
          <w:ilvl w:val="0"/>
          <w:numId w:val="16"/>
        </w:numPr>
        <w:spacing w:line="256" w:lineRule="auto"/>
        <w:ind w:leftChars="0" w:left="810" w:hanging="270"/>
        <w:rPr>
          <w:rFonts w:ascii="Times New Roman" w:hAnsi="Times New Roman" w:cs="Times New Roman"/>
          <w:sz w:val="24"/>
          <w:szCs w:val="24"/>
        </w:rPr>
      </w:pPr>
      <w:r w:rsidRPr="00891CFD">
        <w:rPr>
          <w:rFonts w:ascii="Times New Roman" w:hAnsi="Times New Roman" w:cs="Times New Roman"/>
          <w:sz w:val="24"/>
          <w:szCs w:val="24"/>
        </w:rPr>
        <w:t xml:space="preserve">Option 2 </w:t>
      </w:r>
      <w:r w:rsidRPr="00891CFD">
        <w:rPr>
          <w:rFonts w:ascii="Times New Roman" w:hAnsi="Times New Roman" w:cs="Times New Roman"/>
          <w:b/>
          <w:bCs/>
          <w:sz w:val="24"/>
          <w:szCs w:val="24"/>
        </w:rPr>
        <w:t>GSO only</w:t>
      </w:r>
      <w:r w:rsidRPr="00891CFD">
        <w:rPr>
          <w:rFonts w:ascii="Times New Roman" w:hAnsi="Times New Roman" w:cs="Times New Roman"/>
          <w:sz w:val="24"/>
          <w:szCs w:val="24"/>
        </w:rPr>
        <w:t xml:space="preserve"> </w:t>
      </w:r>
      <w:r w:rsidRPr="00973862">
        <w:rPr>
          <w:rFonts w:ascii="Times New Roman" w:hAnsi="Times New Roman" w:cs="Times New Roman"/>
          <w:sz w:val="24"/>
          <w:szCs w:val="24"/>
        </w:rPr>
        <w:t>(APT, RCC, ASMG, ATU)</w:t>
      </w:r>
    </w:p>
    <w:p w14:paraId="674EFB3F" w14:textId="27A56048" w:rsidR="00074FB4" w:rsidRDefault="00074FB4" w:rsidP="00074FB4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0E6B7A2F" w14:textId="77777777" w:rsidR="00074FB4" w:rsidRPr="00074FB4" w:rsidRDefault="00074FB4" w:rsidP="00074FB4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2379948A" w14:textId="5A082CBB" w:rsidR="00A8785B" w:rsidRDefault="00A8785B" w:rsidP="00A8785B">
      <w:pPr>
        <w:pStyle w:val="ListParagraph"/>
        <w:numPr>
          <w:ilvl w:val="0"/>
          <w:numId w:val="21"/>
        </w:numPr>
        <w:spacing w:line="256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Appropriate phrase </w:t>
      </w:r>
      <w:r w:rsidRPr="00A8785B">
        <w:rPr>
          <w:rFonts w:ascii="Times New Roman" w:hAnsi="Times New Roman" w:cs="Times New Roman"/>
          <w:sz w:val="24"/>
          <w:szCs w:val="24"/>
        </w:rPr>
        <w:t>unacceptable/harmful</w:t>
      </w:r>
    </w:p>
    <w:p w14:paraId="2445B50A" w14:textId="77777777" w:rsidR="00A8785B" w:rsidRPr="00AE6FA6" w:rsidRDefault="00A8785B" w:rsidP="00A8785B">
      <w:pPr>
        <w:keepNext/>
        <w:widowControl/>
        <w:tabs>
          <w:tab w:val="left" w:pos="1134"/>
          <w:tab w:val="left" w:pos="1871"/>
          <w:tab w:val="left" w:pos="2268"/>
        </w:tabs>
        <w:wordWrap/>
        <w:overflowPunct w:val="0"/>
        <w:adjustRightInd w:val="0"/>
        <w:spacing w:before="240" w:after="0" w:line="240" w:lineRule="auto"/>
        <w:jc w:val="left"/>
        <w:textAlignment w:val="baseline"/>
        <w:rPr>
          <w:rFonts w:ascii="Times New Roman" w:eastAsia="Times New Roman" w:hAnsi="Times New Roman Bold" w:cs="Times New Roman"/>
          <w:b/>
          <w:kern w:val="0"/>
          <w:sz w:val="24"/>
          <w:szCs w:val="20"/>
          <w:lang w:val="en-GB" w:eastAsia="en-US"/>
        </w:rPr>
      </w:pPr>
      <w:r w:rsidRPr="00AE6FA6">
        <w:rPr>
          <w:rFonts w:ascii="Times New Roman" w:eastAsia="Times New Roman" w:hAnsi="Times New Roman Bold" w:cs="Times New Roman"/>
          <w:b/>
          <w:kern w:val="0"/>
          <w:sz w:val="24"/>
          <w:szCs w:val="20"/>
          <w:lang w:val="en-GB" w:eastAsia="en-US"/>
        </w:rPr>
        <w:t>ADD</w:t>
      </w:r>
      <w:r w:rsidRPr="00AE6FA6">
        <w:rPr>
          <w:rFonts w:ascii="Times New Roman" w:eastAsia="Times New Roman" w:hAnsi="Times New Roman Bold" w:cs="Times New Roman"/>
          <w:b/>
          <w:kern w:val="0"/>
          <w:sz w:val="24"/>
          <w:szCs w:val="20"/>
          <w:lang w:val="en-GB" w:eastAsia="en-US"/>
        </w:rPr>
        <w:tab/>
        <w:t>SWG5B5/92/4</w:t>
      </w:r>
    </w:p>
    <w:p w14:paraId="213F02DF" w14:textId="77777777" w:rsidR="00A8785B" w:rsidRPr="006500FC" w:rsidRDefault="00A8785B" w:rsidP="00A8785B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AE6FA6">
        <w:rPr>
          <w:rFonts w:ascii="Times New Roman" w:eastAsia="Times New Roman" w:hAnsi="Times New Roman" w:cs="Times New Roman"/>
          <w:b/>
          <w:kern w:val="0"/>
          <w:sz w:val="24"/>
          <w:szCs w:val="20"/>
          <w:lang w:val="en-GB" w:eastAsia="en-US"/>
        </w:rPr>
        <w:t>5.C119</w:t>
      </w:r>
      <w:r w:rsidRPr="00AE6FA6">
        <w:rPr>
          <w:rFonts w:ascii="Times New Roman" w:eastAsia="Times New Roman" w:hAnsi="Times New Roman" w:cs="Times New Roman"/>
          <w:kern w:val="0"/>
          <w:sz w:val="24"/>
          <w:szCs w:val="20"/>
          <w:lang w:val="en-GB" w:eastAsia="en-US"/>
        </w:rPr>
        <w:tab/>
        <w:t>In the frequency band 17.3-17.7 GHz, the use of the fixed-satellite service</w:t>
      </w:r>
      <w:r w:rsidRPr="00AE6FA6" w:rsidDel="00A10910">
        <w:rPr>
          <w:rFonts w:ascii="Times New Roman" w:eastAsia="Times New Roman" w:hAnsi="Times New Roman" w:cs="Times New Roman"/>
          <w:kern w:val="0"/>
          <w:sz w:val="24"/>
          <w:szCs w:val="20"/>
          <w:lang w:val="en-GB" w:eastAsia="en-US"/>
        </w:rPr>
        <w:t xml:space="preserve"> </w:t>
      </w:r>
      <w:r w:rsidRPr="00AE6FA6">
        <w:rPr>
          <w:rFonts w:ascii="Times New Roman" w:eastAsia="Times New Roman" w:hAnsi="Times New Roman" w:cs="Times New Roman"/>
          <w:kern w:val="0"/>
          <w:sz w:val="24"/>
          <w:szCs w:val="20"/>
          <w:lang w:val="en-GB" w:eastAsia="en-US"/>
        </w:rPr>
        <w:t>(space-to-Earth) in Region 2 shall not cause [</w:t>
      </w:r>
      <w:bookmarkStart w:id="0" w:name="_Hlk153184912"/>
      <w:r w:rsidRPr="00AE6FA6">
        <w:rPr>
          <w:rFonts w:ascii="Times New Roman" w:eastAsia="Times New Roman" w:hAnsi="Times New Roman" w:cs="Times New Roman"/>
          <w:kern w:val="0"/>
          <w:sz w:val="24"/>
          <w:szCs w:val="20"/>
          <w:highlight w:val="yellow"/>
          <w:lang w:val="en-GB" w:eastAsia="en-US"/>
        </w:rPr>
        <w:t>unacceptable/harmful</w:t>
      </w:r>
      <w:bookmarkEnd w:id="0"/>
      <w:r w:rsidRPr="00AE6FA6">
        <w:rPr>
          <w:rFonts w:ascii="Times New Roman" w:eastAsia="Times New Roman" w:hAnsi="Times New Roman" w:cs="Times New Roman"/>
          <w:kern w:val="0"/>
          <w:sz w:val="24"/>
          <w:szCs w:val="20"/>
          <w:lang w:val="en-GB" w:eastAsia="en-US"/>
        </w:rPr>
        <w:t>] interference to space station receivers nor claim protection from the broadcasting-satellite service feeder-link earth stations operating under Appendix </w:t>
      </w:r>
      <w:r w:rsidRPr="00AE6FA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GB" w:eastAsia="en-US"/>
        </w:rPr>
        <w:t xml:space="preserve">30A </w:t>
      </w:r>
      <w:r w:rsidRPr="00AE6FA6">
        <w:rPr>
          <w:rFonts w:ascii="Times New Roman" w:eastAsia="Times New Roman" w:hAnsi="Times New Roman" w:cs="Times New Roman"/>
          <w:kern w:val="0"/>
          <w:sz w:val="24"/>
          <w:szCs w:val="20"/>
          <w:lang w:val="en-GB" w:eastAsia="en-US"/>
        </w:rPr>
        <w:t>in all three Regions, nor put any limitations or restrictions on the locations of the broadcasting-satellite service feeder-link earth stations anywhere within the service area of the feeder link. Upon receipt of a report of [unacceptable/harmful] interference, the notifying administration of the fixed-satellite service (space-to-Earth) shall immediately eliminate or reduce [</w:t>
      </w:r>
      <w:r w:rsidRPr="00AE6FA6">
        <w:rPr>
          <w:rFonts w:ascii="Times New Roman" w:eastAsia="Times New Roman" w:hAnsi="Times New Roman" w:cs="Times New Roman"/>
          <w:kern w:val="0"/>
          <w:sz w:val="24"/>
          <w:szCs w:val="20"/>
          <w:highlight w:val="yellow"/>
          <w:lang w:val="en-GB" w:eastAsia="en-US"/>
        </w:rPr>
        <w:t>unacceptable/harmful</w:t>
      </w:r>
      <w:r w:rsidRPr="00AE6FA6">
        <w:rPr>
          <w:rFonts w:ascii="Times New Roman" w:eastAsia="Times New Roman" w:hAnsi="Times New Roman" w:cs="Times New Roman"/>
          <w:kern w:val="0"/>
          <w:sz w:val="24"/>
          <w:szCs w:val="20"/>
          <w:lang w:val="en-GB" w:eastAsia="en-US"/>
        </w:rPr>
        <w:t>] interference to an acceptable level.</w:t>
      </w:r>
      <w:r w:rsidRPr="00AE6FA6">
        <w:rPr>
          <w:rFonts w:ascii="Times New Roman" w:eastAsia="Times New Roman" w:hAnsi="Times New Roman" w:cs="Times New Roman"/>
          <w:kern w:val="0"/>
          <w:sz w:val="16"/>
          <w:szCs w:val="16"/>
          <w:lang w:val="en-GB" w:eastAsia="en-US"/>
        </w:rPr>
        <w:t>     </w:t>
      </w:r>
    </w:p>
    <w:p w14:paraId="62E0AE5E" w14:textId="77777777" w:rsidR="00A8785B" w:rsidRPr="00A8785B" w:rsidRDefault="00A8785B" w:rsidP="00A8785B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7561E042" w14:textId="77777777" w:rsidR="00AE6FA6" w:rsidRPr="00891CFD" w:rsidRDefault="00AE6FA6" w:rsidP="00AE6FA6">
      <w:pPr>
        <w:pStyle w:val="ListParagraph"/>
        <w:spacing w:line="256" w:lineRule="auto"/>
        <w:ind w:leftChars="0" w:left="1170"/>
        <w:rPr>
          <w:rFonts w:ascii="Times New Roman" w:hAnsi="Times New Roman" w:cs="Times New Roman"/>
          <w:sz w:val="24"/>
          <w:szCs w:val="24"/>
        </w:rPr>
      </w:pPr>
    </w:p>
    <w:p w14:paraId="727283DD" w14:textId="6F1F9081" w:rsidR="00AE6FA6" w:rsidRDefault="00AE6FA6" w:rsidP="00AE6FA6">
      <w:pPr>
        <w:pStyle w:val="ListParagraph"/>
        <w:numPr>
          <w:ilvl w:val="0"/>
          <w:numId w:val="21"/>
        </w:numPr>
        <w:spacing w:line="256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APT position on</w:t>
      </w:r>
      <w:r w:rsidRPr="00AE6FA6">
        <w:rPr>
          <w:rFonts w:ascii="Times New Roman" w:hAnsi="Times New Roman" w:cs="Times New Roman"/>
          <w:sz w:val="24"/>
          <w:szCs w:val="24"/>
        </w:rPr>
        <w:t xml:space="preserve"> GSO limitations when GSO and NGSO operate together under option 1.</w:t>
      </w:r>
    </w:p>
    <w:p w14:paraId="24A0601D" w14:textId="48BC73BD" w:rsidR="00AE6FA6" w:rsidRPr="00A6409F" w:rsidRDefault="00AE6FA6" w:rsidP="00AE6FA6">
      <w:pPr>
        <w:pStyle w:val="Proposal"/>
      </w:pPr>
      <w:r w:rsidRPr="00A6409F">
        <w:t>ADD</w:t>
      </w:r>
      <w:r w:rsidRPr="00A6409F">
        <w:tab/>
        <w:t>SWG5B5/92/</w:t>
      </w:r>
      <w:proofErr w:type="gramStart"/>
      <w:r w:rsidRPr="00A6409F">
        <w:t>3</w:t>
      </w:r>
      <w:r w:rsidR="00074FB4">
        <w:t xml:space="preserve">  </w:t>
      </w:r>
      <w:r w:rsidR="00074FB4" w:rsidRPr="00074FB4">
        <w:rPr>
          <w:rFonts w:hAnsi="Times New Roman"/>
          <w:szCs w:val="24"/>
        </w:rPr>
        <w:t>(</w:t>
      </w:r>
      <w:proofErr w:type="gramEnd"/>
      <w:r w:rsidR="00074FB4" w:rsidRPr="00074FB4">
        <w:rPr>
          <w:rFonts w:hAnsi="Times New Roman"/>
          <w:bCs/>
          <w:szCs w:val="24"/>
        </w:rPr>
        <w:t>ATU/ASMG/CHN/IRN</w:t>
      </w:r>
      <w:r w:rsidR="00074FB4" w:rsidRPr="00074FB4">
        <w:rPr>
          <w:rFonts w:hAnsi="Times New Roman"/>
          <w:szCs w:val="24"/>
        </w:rPr>
        <w:t>)</w:t>
      </w:r>
      <w:r w:rsidRPr="00A6409F">
        <w:rPr>
          <w:vanish/>
          <w:color w:val="7F7F7F" w:themeColor="text1" w:themeTint="80"/>
          <w:vertAlign w:val="superscript"/>
        </w:rPr>
        <w:t>#2369</w:t>
      </w:r>
    </w:p>
    <w:p w14:paraId="3793FB26" w14:textId="66706CFF" w:rsidR="00AE6FA6" w:rsidRPr="00A6409F" w:rsidRDefault="00AE6FA6" w:rsidP="00AE6FA6">
      <w:pPr>
        <w:pStyle w:val="Note"/>
        <w:rPr>
          <w:sz w:val="16"/>
          <w:szCs w:val="16"/>
        </w:rPr>
      </w:pPr>
      <w:r w:rsidRPr="00A6409F">
        <w:rPr>
          <w:rStyle w:val="Artdef"/>
          <w:szCs w:val="24"/>
        </w:rPr>
        <w:t>5.A119</w:t>
      </w:r>
      <w:r w:rsidRPr="00A6409F">
        <w:rPr>
          <w:rStyle w:val="Artdef"/>
          <w:szCs w:val="24"/>
        </w:rPr>
        <w:tab/>
      </w:r>
      <w:bookmarkStart w:id="1" w:name="_Hlk153052963"/>
      <w:r w:rsidRPr="00A6409F">
        <w:t>In addition to the need to comply with the coordination criteria in Annex 4 of Article 7 of Appendix </w:t>
      </w:r>
      <w:r w:rsidRPr="00A6409F">
        <w:rPr>
          <w:rStyle w:val="ApprefBold"/>
        </w:rPr>
        <w:t>30A</w:t>
      </w:r>
      <w:r w:rsidRPr="00A6409F">
        <w:t xml:space="preserve">, under assumed free-space propagation conditions, the power flux-density of </w:t>
      </w:r>
      <w:r w:rsidRPr="00A6409F">
        <w:rPr>
          <w:szCs w:val="24"/>
          <w:lang w:eastAsia="ja-JP"/>
        </w:rPr>
        <w:t>an assignment in the fixed</w:t>
      </w:r>
      <w:r w:rsidRPr="00A6409F">
        <w:rPr>
          <w:rFonts w:eastAsiaTheme="minorEastAsia"/>
          <w:szCs w:val="28"/>
          <w:lang w:eastAsia="ja-JP"/>
        </w:rPr>
        <w:t>-</w:t>
      </w:r>
      <w:r w:rsidRPr="00A6409F">
        <w:rPr>
          <w:szCs w:val="24"/>
          <w:lang w:eastAsia="ja-JP"/>
        </w:rPr>
        <w:t xml:space="preserve">satellite service (space to-Earth) of a GSO network in the frequency band 17.3-17.7 GHz in Region 2 </w:t>
      </w:r>
      <w:r w:rsidRPr="00A6409F">
        <w:t xml:space="preserve">shall not exceed the value of </w:t>
      </w:r>
      <w:r w:rsidRPr="00EE22F7">
        <w:rPr>
          <w:highlight w:val="yellow"/>
        </w:rPr>
        <w:t>[−125 dB(W/(m</w:t>
      </w:r>
      <w:r w:rsidRPr="00EE22F7">
        <w:rPr>
          <w:highlight w:val="yellow"/>
          <w:vertAlign w:val="superscript"/>
        </w:rPr>
        <w:t>2</w:t>
      </w:r>
      <w:r w:rsidRPr="00EE22F7">
        <w:rPr>
          <w:highlight w:val="yellow"/>
        </w:rPr>
        <w:t> · 27 MHz)]</w:t>
      </w:r>
      <w:r w:rsidRPr="00A6409F">
        <w:t xml:space="preserve"> </w:t>
      </w:r>
      <w:r>
        <w:t>[</w:t>
      </w:r>
      <w:r w:rsidRPr="00AE6FA6">
        <w:rPr>
          <w:highlight w:val="yellow"/>
        </w:rPr>
        <w:t>at any point in the geostationary-satellite orbit/for geocentric orbital separation angles between satellite networks of 162.6</w:t>
      </w:r>
      <w:bookmarkEnd w:id="1"/>
      <w:r w:rsidRPr="00AE6FA6">
        <w:rPr>
          <w:highlight w:val="yellow"/>
        </w:rPr>
        <w:t>°</w:t>
      </w:r>
      <w:r>
        <w:t>]</w:t>
      </w:r>
      <w:r w:rsidRPr="00A6409F">
        <w:t>.</w:t>
      </w:r>
      <w:r w:rsidRPr="00A6409F">
        <w:rPr>
          <w:sz w:val="16"/>
          <w:szCs w:val="16"/>
        </w:rPr>
        <w:t>     (WRC</w:t>
      </w:r>
      <w:r w:rsidRPr="00A6409F">
        <w:rPr>
          <w:sz w:val="16"/>
          <w:szCs w:val="16"/>
        </w:rPr>
        <w:noBreakHyphen/>
        <w:t>23)</w:t>
      </w:r>
    </w:p>
    <w:p w14:paraId="71454B52" w14:textId="77777777" w:rsidR="006500FC" w:rsidRPr="006500FC" w:rsidRDefault="006500FC" w:rsidP="006500FC">
      <w:pPr>
        <w:rPr>
          <w:lang w:val="en-GB" w:eastAsia="en-US"/>
        </w:rPr>
      </w:pPr>
    </w:p>
    <w:p w14:paraId="1CDDED7B" w14:textId="3A265183" w:rsidR="003606EC" w:rsidRPr="003606EC" w:rsidRDefault="003606EC" w:rsidP="003606EC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606EC">
        <w:rPr>
          <w:rFonts w:ascii="Times New Roman" w:hAnsi="Times New Roman" w:cs="Times New Roman"/>
          <w:b/>
          <w:sz w:val="24"/>
          <w:szCs w:val="24"/>
          <w:lang w:val="en-GB"/>
        </w:rPr>
        <w:t>ADD</w:t>
      </w:r>
      <w:r w:rsidRPr="003606EC">
        <w:rPr>
          <w:rFonts w:ascii="Times New Roman" w:hAnsi="Times New Roman" w:cs="Times New Roman"/>
          <w:b/>
          <w:sz w:val="24"/>
          <w:szCs w:val="24"/>
          <w:lang w:val="en-GB"/>
        </w:rPr>
        <w:tab/>
        <w:t>SWG5B5/92/</w:t>
      </w:r>
      <w:proofErr w:type="gramStart"/>
      <w:r w:rsidRPr="003606EC">
        <w:rPr>
          <w:rFonts w:ascii="Times New Roman" w:hAnsi="Times New Roman" w:cs="Times New Roman"/>
          <w:b/>
          <w:sz w:val="24"/>
          <w:szCs w:val="24"/>
          <w:lang w:val="en-GB"/>
        </w:rPr>
        <w:t>13</w:t>
      </w:r>
      <w:r w:rsidR="00074FB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r w:rsidR="00074FB4" w:rsidRPr="00074FB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74FB4" w:rsidRPr="00074FB4">
        <w:rPr>
          <w:rFonts w:ascii="Times New Roman" w:hAnsi="Times New Roman" w:cs="Times New Roman"/>
          <w:b/>
          <w:bCs/>
          <w:sz w:val="24"/>
          <w:szCs w:val="24"/>
        </w:rPr>
        <w:t>APT</w:t>
      </w:r>
      <w:r w:rsidR="00074FB4" w:rsidRPr="00074FB4">
        <w:rPr>
          <w:rFonts w:ascii="Times New Roman" w:hAnsi="Times New Roman" w:cs="Times New Roman"/>
          <w:sz w:val="24"/>
          <w:szCs w:val="24"/>
        </w:rPr>
        <w:t>/</w:t>
      </w:r>
      <w:r w:rsidR="00074FB4" w:rsidRPr="00074FB4">
        <w:rPr>
          <w:rFonts w:ascii="Times New Roman" w:hAnsi="Times New Roman" w:cs="Times New Roman"/>
          <w:b/>
          <w:bCs/>
          <w:sz w:val="24"/>
          <w:szCs w:val="24"/>
        </w:rPr>
        <w:t>ATU/ASMG/CHN/IRN</w:t>
      </w:r>
      <w:r w:rsidR="00074FB4" w:rsidRPr="00074FB4">
        <w:rPr>
          <w:rFonts w:ascii="Times New Roman" w:hAnsi="Times New Roman" w:cs="Times New Roman"/>
          <w:sz w:val="24"/>
          <w:szCs w:val="24"/>
        </w:rPr>
        <w:t>)</w:t>
      </w:r>
      <w:r w:rsidRPr="003606EC">
        <w:rPr>
          <w:rFonts w:ascii="Times New Roman" w:hAnsi="Times New Roman" w:cs="Times New Roman"/>
          <w:b/>
          <w:vanish/>
          <w:sz w:val="24"/>
          <w:szCs w:val="24"/>
          <w:vertAlign w:val="superscript"/>
          <w:lang w:val="en-GB"/>
        </w:rPr>
        <w:t>#2376</w:t>
      </w:r>
    </w:p>
    <w:p w14:paraId="08EC4847" w14:textId="77777777" w:rsidR="003606EC" w:rsidRPr="003606EC" w:rsidRDefault="003606EC" w:rsidP="003606EC">
      <w:pPr>
        <w:spacing w:line="25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606EC">
        <w:rPr>
          <w:rFonts w:ascii="Times New Roman" w:hAnsi="Times New Roman" w:cs="Times New Roman"/>
          <w:sz w:val="24"/>
          <w:szCs w:val="24"/>
          <w:lang w:val="en-GB"/>
        </w:rPr>
        <w:t>7.2.3</w:t>
      </w:r>
      <w:r w:rsidRPr="003606EC">
        <w:rPr>
          <w:rFonts w:ascii="Times New Roman" w:hAnsi="Times New Roman" w:cs="Times New Roman"/>
          <w:sz w:val="24"/>
          <w:szCs w:val="24"/>
          <w:lang w:val="en-GB"/>
        </w:rPr>
        <w:tab/>
        <w:t xml:space="preserve">For the fixed-satellite service (space-to-Earth) in the frequency band 17.3-17.7 GHz (in </w:t>
      </w:r>
      <w:proofErr w:type="gramStart"/>
      <w:r w:rsidRPr="003606EC">
        <w:rPr>
          <w:rFonts w:ascii="Times New Roman" w:hAnsi="Times New Roman" w:cs="Times New Roman"/>
          <w:sz w:val="24"/>
          <w:szCs w:val="24"/>
          <w:lang w:val="en-GB"/>
        </w:rPr>
        <w:t>Region</w:t>
      </w:r>
      <w:proofErr w:type="gramEnd"/>
      <w:r w:rsidRPr="003606EC">
        <w:rPr>
          <w:rFonts w:ascii="Times New Roman" w:hAnsi="Times New Roman" w:cs="Times New Roman"/>
          <w:sz w:val="24"/>
          <w:szCs w:val="24"/>
          <w:lang w:val="en-GB"/>
        </w:rPr>
        <w:t xml:space="preserve"> 2), the course of action described in </w:t>
      </w:r>
      <w:r w:rsidRPr="003606EC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Nos. </w:t>
      </w:r>
      <w:r w:rsidRPr="003606E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>9.60</w:t>
      </w:r>
      <w:r w:rsidRPr="003606EC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 to </w:t>
      </w:r>
      <w:r w:rsidRPr="003606EC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>9.62</w:t>
      </w:r>
      <w:r w:rsidRPr="003606EC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 do not apply</w:t>
      </w:r>
      <w:r w:rsidRPr="003606EC">
        <w:rPr>
          <w:rFonts w:ascii="Times New Roman" w:hAnsi="Times New Roman" w:cs="Times New Roman"/>
          <w:sz w:val="24"/>
          <w:szCs w:val="24"/>
          <w:lang w:val="en-GB"/>
        </w:rPr>
        <w:t xml:space="preserve"> and the provision of </w:t>
      </w:r>
      <w:r w:rsidRPr="003606EC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11.41 do not apply</w:t>
      </w:r>
      <w:r w:rsidRPr="003606EC">
        <w:rPr>
          <w:rFonts w:ascii="Times New Roman" w:hAnsi="Times New Roman" w:cs="Times New Roman"/>
          <w:sz w:val="24"/>
          <w:szCs w:val="24"/>
          <w:lang w:val="en-GB"/>
        </w:rPr>
        <w:t xml:space="preserve"> with respect to feeder links of an assignment in the Plan, List or proposed new or modified assignments in the List or an assignment intended to enter in the Regions 1 and 3 Plan.     (WRC</w:t>
      </w:r>
      <w:r w:rsidRPr="003606EC">
        <w:rPr>
          <w:rFonts w:ascii="Times New Roman" w:hAnsi="Times New Roman" w:cs="Times New Roman"/>
          <w:sz w:val="24"/>
          <w:szCs w:val="24"/>
          <w:lang w:val="en-GB"/>
        </w:rPr>
        <w:noBreakHyphen/>
        <w:t>23)</w:t>
      </w:r>
    </w:p>
    <w:p w14:paraId="14741C61" w14:textId="267E494A" w:rsidR="00407A6E" w:rsidRPr="00407A6E" w:rsidRDefault="00407A6E" w:rsidP="003606EC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sectPr w:rsidR="00407A6E" w:rsidRPr="00407A6E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96CBD" w14:textId="77777777" w:rsidR="001C0D75" w:rsidRDefault="001C0D75" w:rsidP="00D1517A">
      <w:pPr>
        <w:spacing w:after="0" w:line="240" w:lineRule="auto"/>
      </w:pPr>
      <w:r>
        <w:separator/>
      </w:r>
    </w:p>
  </w:endnote>
  <w:endnote w:type="continuationSeparator" w:id="0">
    <w:p w14:paraId="72CE1421" w14:textId="77777777" w:rsidR="001C0D75" w:rsidRDefault="001C0D75" w:rsidP="00D1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3339A" w14:textId="77777777" w:rsidR="001C0D75" w:rsidRDefault="001C0D75" w:rsidP="00D1517A">
      <w:pPr>
        <w:spacing w:after="0" w:line="240" w:lineRule="auto"/>
      </w:pPr>
      <w:r>
        <w:separator/>
      </w:r>
    </w:p>
  </w:footnote>
  <w:footnote w:type="continuationSeparator" w:id="0">
    <w:p w14:paraId="78D4FCC7" w14:textId="77777777" w:rsidR="001C0D75" w:rsidRDefault="001C0D75" w:rsidP="00D1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36C2C"/>
    <w:multiLevelType w:val="hybridMultilevel"/>
    <w:tmpl w:val="E4CE64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F7932"/>
    <w:multiLevelType w:val="multilevel"/>
    <w:tmpl w:val="D6E81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DB361F6"/>
    <w:multiLevelType w:val="hybridMultilevel"/>
    <w:tmpl w:val="B2222EDC"/>
    <w:lvl w:ilvl="0" w:tplc="DABE64CE">
      <w:start w:val="5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EB0BAD"/>
    <w:multiLevelType w:val="hybridMultilevel"/>
    <w:tmpl w:val="D64477B6"/>
    <w:lvl w:ilvl="0" w:tplc="04090017">
      <w:start w:val="1"/>
      <w:numFmt w:val="lowerLetter"/>
      <w:lvlText w:val="%1)"/>
      <w:lvlJc w:val="left"/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E0194C"/>
    <w:multiLevelType w:val="hybridMultilevel"/>
    <w:tmpl w:val="302683AC"/>
    <w:lvl w:ilvl="0" w:tplc="F2EAB2F4">
      <w:start w:val="1"/>
      <w:numFmt w:val="lowerLetter"/>
      <w:lvlText w:val="%1)"/>
      <w:lvlJc w:val="left"/>
      <w:rPr>
        <w:rFonts w:hint="default"/>
        <w:b/>
        <w:bCs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ABD21BF"/>
    <w:multiLevelType w:val="hybridMultilevel"/>
    <w:tmpl w:val="2C30A42C"/>
    <w:lvl w:ilvl="0" w:tplc="C26C1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47C4C"/>
    <w:multiLevelType w:val="hybridMultilevel"/>
    <w:tmpl w:val="9B582A34"/>
    <w:lvl w:ilvl="0" w:tplc="04090017">
      <w:start w:val="1"/>
      <w:numFmt w:val="lowerLetter"/>
      <w:lvlText w:val="%1)"/>
      <w:lvlJc w:val="left"/>
      <w:pPr>
        <w:ind w:left="0" w:firstLine="0"/>
      </w:pPr>
    </w:lvl>
    <w:lvl w:ilvl="1" w:tplc="945ADFFA">
      <w:start w:val="1"/>
      <w:numFmt w:val="bullet"/>
      <w:lvlText w:val="-"/>
      <w:lvlJc w:val="left"/>
      <w:pPr>
        <w:ind w:left="1530" w:hanging="360"/>
      </w:pPr>
      <w:rPr>
        <w:rFonts w:ascii="Calibri" w:hAnsi="Calibri" w:cs="Times New Roman" w:hint="default"/>
      </w:rPr>
    </w:lvl>
    <w:lvl w:ilvl="2" w:tplc="08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D3561DB"/>
    <w:multiLevelType w:val="hybridMultilevel"/>
    <w:tmpl w:val="DB12D17E"/>
    <w:lvl w:ilvl="0" w:tplc="FFFFFFFF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03E0EFB"/>
    <w:multiLevelType w:val="hybridMultilevel"/>
    <w:tmpl w:val="C1904B34"/>
    <w:lvl w:ilvl="0" w:tplc="B60EA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457B49"/>
    <w:multiLevelType w:val="hybridMultilevel"/>
    <w:tmpl w:val="DB12D17E"/>
    <w:lvl w:ilvl="0" w:tplc="04090017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B343077"/>
    <w:multiLevelType w:val="hybridMultilevel"/>
    <w:tmpl w:val="B85AF6D0"/>
    <w:lvl w:ilvl="0" w:tplc="FA58BB30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5D571B56"/>
    <w:multiLevelType w:val="hybridMultilevel"/>
    <w:tmpl w:val="E312CE56"/>
    <w:lvl w:ilvl="0" w:tplc="DABE64CE">
      <w:start w:val="5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3613E05"/>
    <w:multiLevelType w:val="hybridMultilevel"/>
    <w:tmpl w:val="18A86E38"/>
    <w:lvl w:ilvl="0" w:tplc="04090017">
      <w:start w:val="1"/>
      <w:numFmt w:val="lowerLetter"/>
      <w:lvlText w:val="%1)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6A05F6"/>
    <w:multiLevelType w:val="hybridMultilevel"/>
    <w:tmpl w:val="35349184"/>
    <w:lvl w:ilvl="0" w:tplc="04090005">
      <w:start w:val="1"/>
      <w:numFmt w:val="bullet"/>
      <w:lvlText w:val="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12F10"/>
    <w:multiLevelType w:val="hybridMultilevel"/>
    <w:tmpl w:val="E26CE3C0"/>
    <w:lvl w:ilvl="0" w:tplc="588A06DE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BE4946"/>
    <w:multiLevelType w:val="hybridMultilevel"/>
    <w:tmpl w:val="7E5AA590"/>
    <w:lvl w:ilvl="0" w:tplc="04090017">
      <w:start w:val="1"/>
      <w:numFmt w:val="lowerLetter"/>
      <w:lvlText w:val="%1)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363317"/>
    <w:multiLevelType w:val="hybridMultilevel"/>
    <w:tmpl w:val="A90EEA20"/>
    <w:lvl w:ilvl="0" w:tplc="6608CDAC">
      <w:start w:val="1"/>
      <w:numFmt w:val="lowerLetter"/>
      <w:lvlText w:val="%1)"/>
      <w:lvlJc w:val="left"/>
      <w:rPr>
        <w:rFonts w:hint="default"/>
        <w:b w:val="0"/>
        <w:bCs w:val="0"/>
        <w:strike w:val="0"/>
      </w:rPr>
    </w:lvl>
    <w:lvl w:ilvl="1" w:tplc="FFFFFFFF" w:tentative="1">
      <w:start w:val="1"/>
      <w:numFmt w:val="upperLetter"/>
      <w:lvlText w:val="%2."/>
      <w:lvlJc w:val="left"/>
      <w:pPr>
        <w:ind w:left="2640" w:hanging="400"/>
      </w:pPr>
    </w:lvl>
    <w:lvl w:ilvl="2" w:tplc="FFFFFFFF" w:tentative="1">
      <w:start w:val="1"/>
      <w:numFmt w:val="lowerRoman"/>
      <w:lvlText w:val="%3."/>
      <w:lvlJc w:val="right"/>
      <w:pPr>
        <w:ind w:left="3040" w:hanging="400"/>
      </w:pPr>
    </w:lvl>
    <w:lvl w:ilvl="3" w:tplc="FFFFFFFF" w:tentative="1">
      <w:start w:val="1"/>
      <w:numFmt w:val="decimal"/>
      <w:lvlText w:val="%4."/>
      <w:lvlJc w:val="left"/>
      <w:pPr>
        <w:ind w:left="3440" w:hanging="400"/>
      </w:pPr>
    </w:lvl>
    <w:lvl w:ilvl="4" w:tplc="FFFFFFFF" w:tentative="1">
      <w:start w:val="1"/>
      <w:numFmt w:val="upperLetter"/>
      <w:lvlText w:val="%5."/>
      <w:lvlJc w:val="left"/>
      <w:pPr>
        <w:ind w:left="3840" w:hanging="400"/>
      </w:pPr>
    </w:lvl>
    <w:lvl w:ilvl="5" w:tplc="FFFFFFFF" w:tentative="1">
      <w:start w:val="1"/>
      <w:numFmt w:val="lowerRoman"/>
      <w:lvlText w:val="%6."/>
      <w:lvlJc w:val="right"/>
      <w:pPr>
        <w:ind w:left="4240" w:hanging="400"/>
      </w:pPr>
    </w:lvl>
    <w:lvl w:ilvl="6" w:tplc="FFFFFFFF" w:tentative="1">
      <w:start w:val="1"/>
      <w:numFmt w:val="decimal"/>
      <w:lvlText w:val="%7."/>
      <w:lvlJc w:val="left"/>
      <w:pPr>
        <w:ind w:left="4640" w:hanging="400"/>
      </w:pPr>
    </w:lvl>
    <w:lvl w:ilvl="7" w:tplc="FFFFFFFF" w:tentative="1">
      <w:start w:val="1"/>
      <w:numFmt w:val="upperLetter"/>
      <w:lvlText w:val="%8."/>
      <w:lvlJc w:val="left"/>
      <w:pPr>
        <w:ind w:left="5040" w:hanging="400"/>
      </w:pPr>
    </w:lvl>
    <w:lvl w:ilvl="8" w:tplc="FFFFFFFF" w:tentative="1">
      <w:start w:val="1"/>
      <w:numFmt w:val="lowerRoman"/>
      <w:lvlText w:val="%9."/>
      <w:lvlJc w:val="right"/>
      <w:pPr>
        <w:ind w:left="5440" w:hanging="400"/>
      </w:pPr>
    </w:lvl>
  </w:abstractNum>
  <w:abstractNum w:abstractNumId="17" w15:restartNumberingAfterBreak="0">
    <w:nsid w:val="77A007BE"/>
    <w:multiLevelType w:val="hybridMultilevel"/>
    <w:tmpl w:val="9392D4B2"/>
    <w:lvl w:ilvl="0" w:tplc="DABE64CE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B3664C"/>
    <w:multiLevelType w:val="hybridMultilevel"/>
    <w:tmpl w:val="4C747362"/>
    <w:lvl w:ilvl="0" w:tplc="DABE64CE">
      <w:start w:val="5"/>
      <w:numFmt w:val="bullet"/>
      <w:lvlText w:val="-"/>
      <w:lvlJc w:val="left"/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16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13"/>
  </w:num>
  <w:num w:numId="11">
    <w:abstractNumId w:val="12"/>
  </w:num>
  <w:num w:numId="12">
    <w:abstractNumId w:val="17"/>
  </w:num>
  <w:num w:numId="13">
    <w:abstractNumId w:val="18"/>
  </w:num>
  <w:num w:numId="14">
    <w:abstractNumId w:val="0"/>
  </w:num>
  <w:num w:numId="15">
    <w:abstractNumId w:val="15"/>
  </w:num>
  <w:num w:numId="16">
    <w:abstractNumId w:val="11"/>
  </w:num>
  <w:num w:numId="17">
    <w:abstractNumId w:val="2"/>
  </w:num>
  <w:num w:numId="18">
    <w:abstractNumId w:val="3"/>
  </w:num>
  <w:num w:numId="19">
    <w:abstractNumId w:val="14"/>
  </w:num>
  <w:num w:numId="20">
    <w:abstractNumId w:val="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4"/>
    <w:rsid w:val="00046330"/>
    <w:rsid w:val="00074FB4"/>
    <w:rsid w:val="00086F2C"/>
    <w:rsid w:val="000B0D91"/>
    <w:rsid w:val="000B5983"/>
    <w:rsid w:val="00112B8B"/>
    <w:rsid w:val="00133C19"/>
    <w:rsid w:val="001605F3"/>
    <w:rsid w:val="001A1F17"/>
    <w:rsid w:val="001B532B"/>
    <w:rsid w:val="001C0D75"/>
    <w:rsid w:val="001D7E88"/>
    <w:rsid w:val="001E0789"/>
    <w:rsid w:val="00217FDA"/>
    <w:rsid w:val="002248D4"/>
    <w:rsid w:val="0024106C"/>
    <w:rsid w:val="00283184"/>
    <w:rsid w:val="00283D24"/>
    <w:rsid w:val="00286B97"/>
    <w:rsid w:val="003346ED"/>
    <w:rsid w:val="003606EC"/>
    <w:rsid w:val="00366956"/>
    <w:rsid w:val="00394D8D"/>
    <w:rsid w:val="003E02AE"/>
    <w:rsid w:val="003F6BFA"/>
    <w:rsid w:val="00407A6E"/>
    <w:rsid w:val="004A0E46"/>
    <w:rsid w:val="004A3E94"/>
    <w:rsid w:val="004A574B"/>
    <w:rsid w:val="004D7CC0"/>
    <w:rsid w:val="00550E88"/>
    <w:rsid w:val="005755E6"/>
    <w:rsid w:val="005C14FA"/>
    <w:rsid w:val="005C6572"/>
    <w:rsid w:val="00611DDA"/>
    <w:rsid w:val="006500FC"/>
    <w:rsid w:val="006569A1"/>
    <w:rsid w:val="00672CC4"/>
    <w:rsid w:val="0067372E"/>
    <w:rsid w:val="00677357"/>
    <w:rsid w:val="00683E04"/>
    <w:rsid w:val="007A3642"/>
    <w:rsid w:val="008742F3"/>
    <w:rsid w:val="00891CFD"/>
    <w:rsid w:val="008D0D25"/>
    <w:rsid w:val="008D6BD5"/>
    <w:rsid w:val="009444B7"/>
    <w:rsid w:val="00973862"/>
    <w:rsid w:val="009A6A7F"/>
    <w:rsid w:val="009E10FA"/>
    <w:rsid w:val="009E27EC"/>
    <w:rsid w:val="00A76363"/>
    <w:rsid w:val="00A77E2D"/>
    <w:rsid w:val="00A8785B"/>
    <w:rsid w:val="00AC461C"/>
    <w:rsid w:val="00AC506F"/>
    <w:rsid w:val="00AD63ED"/>
    <w:rsid w:val="00AE08E2"/>
    <w:rsid w:val="00AE6FA6"/>
    <w:rsid w:val="00AF4FDD"/>
    <w:rsid w:val="00B23692"/>
    <w:rsid w:val="00B245C2"/>
    <w:rsid w:val="00B348D1"/>
    <w:rsid w:val="00B3579E"/>
    <w:rsid w:val="00B71D83"/>
    <w:rsid w:val="00BB1D78"/>
    <w:rsid w:val="00C750CB"/>
    <w:rsid w:val="00C82B13"/>
    <w:rsid w:val="00CB57F5"/>
    <w:rsid w:val="00CF47B0"/>
    <w:rsid w:val="00D059B6"/>
    <w:rsid w:val="00D1517A"/>
    <w:rsid w:val="00DB0FCE"/>
    <w:rsid w:val="00DF75EF"/>
    <w:rsid w:val="00EA1B34"/>
    <w:rsid w:val="00EC68D5"/>
    <w:rsid w:val="00EF7969"/>
    <w:rsid w:val="00F341CC"/>
    <w:rsid w:val="00F3556E"/>
    <w:rsid w:val="00F77230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B34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17A"/>
  </w:style>
  <w:style w:type="paragraph" w:styleId="Footer">
    <w:name w:val="footer"/>
    <w:basedOn w:val="Normal"/>
    <w:link w:val="Foot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17A"/>
  </w:style>
  <w:style w:type="character" w:styleId="Hyperlink">
    <w:name w:val="Hyperlink"/>
    <w:basedOn w:val="DefaultParagraphFont"/>
    <w:uiPriority w:val="99"/>
    <w:unhideWhenUsed/>
    <w:rsid w:val="00217FDA"/>
    <w:rPr>
      <w:color w:val="0000FF"/>
      <w:u w:val="single"/>
    </w:rPr>
  </w:style>
  <w:style w:type="paragraph" w:customStyle="1" w:styleId="Headingb">
    <w:name w:val="Heading_b"/>
    <w:basedOn w:val="Normal"/>
    <w:next w:val="Normal"/>
    <w:qFormat/>
    <w:rsid w:val="006500FC"/>
    <w:pPr>
      <w:keepNext/>
      <w:widowControl/>
      <w:tabs>
        <w:tab w:val="left" w:pos="1134"/>
        <w:tab w:val="left" w:pos="1871"/>
        <w:tab w:val="left" w:pos="2268"/>
      </w:tabs>
      <w:wordWrap/>
      <w:overflowPunct w:val="0"/>
      <w:adjustRightInd w:val="0"/>
      <w:spacing w:before="160" w:after="0" w:line="240" w:lineRule="auto"/>
      <w:jc w:val="left"/>
      <w:textAlignment w:val="baseline"/>
    </w:pPr>
    <w:rPr>
      <w:rFonts w:ascii="Times New Roman Bold" w:eastAsia="Times New Roman" w:hAnsi="Times New Roman Bold" w:cs="Times New Roman Bold"/>
      <w:b/>
      <w:kern w:val="0"/>
      <w:sz w:val="24"/>
      <w:szCs w:val="20"/>
      <w:lang w:val="fr-CH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91CFD"/>
    <w:rPr>
      <w:color w:val="605E5C"/>
      <w:shd w:val="clear" w:color="auto" w:fill="E1DFDD"/>
    </w:rPr>
  </w:style>
  <w:style w:type="character" w:customStyle="1" w:styleId="Artdef">
    <w:name w:val="Art_def"/>
    <w:basedOn w:val="DefaultParagraphFont"/>
    <w:rsid w:val="00AE6FA6"/>
    <w:rPr>
      <w:rFonts w:ascii="Times New Roman" w:hAnsi="Times New Roman"/>
      <w:b/>
    </w:rPr>
  </w:style>
  <w:style w:type="paragraph" w:customStyle="1" w:styleId="Proposal">
    <w:name w:val="Proposal"/>
    <w:basedOn w:val="Normal"/>
    <w:next w:val="Normal"/>
    <w:rsid w:val="00AE6FA6"/>
    <w:pPr>
      <w:keepNext/>
      <w:widowControl/>
      <w:tabs>
        <w:tab w:val="left" w:pos="1134"/>
        <w:tab w:val="left" w:pos="1871"/>
        <w:tab w:val="left" w:pos="2268"/>
      </w:tabs>
      <w:wordWrap/>
      <w:overflowPunct w:val="0"/>
      <w:adjustRightInd w:val="0"/>
      <w:spacing w:before="240" w:after="0" w:line="240" w:lineRule="auto"/>
      <w:jc w:val="left"/>
      <w:textAlignment w:val="baseline"/>
    </w:pPr>
    <w:rPr>
      <w:rFonts w:ascii="Times New Roman" w:eastAsia="Times New Roman" w:hAnsi="Times New Roman Bold" w:cs="Times New Roman"/>
      <w:b/>
      <w:kern w:val="0"/>
      <w:sz w:val="24"/>
      <w:szCs w:val="20"/>
      <w:lang w:val="en-GB" w:eastAsia="en-US"/>
    </w:rPr>
  </w:style>
  <w:style w:type="paragraph" w:customStyle="1" w:styleId="Note">
    <w:name w:val="Note"/>
    <w:basedOn w:val="Normal"/>
    <w:next w:val="Normal"/>
    <w:link w:val="NoteChar"/>
    <w:rsid w:val="00AE6FA6"/>
    <w:pPr>
      <w:widowControl/>
      <w:tabs>
        <w:tab w:val="left" w:pos="284"/>
        <w:tab w:val="left" w:pos="1134"/>
        <w:tab w:val="left" w:pos="1871"/>
        <w:tab w:val="left" w:pos="2268"/>
      </w:tabs>
      <w:wordWrap/>
      <w:overflowPunct w:val="0"/>
      <w:adjustRightInd w:val="0"/>
      <w:spacing w:before="80" w:after="0" w:line="240" w:lineRule="auto"/>
      <w:jc w:val="left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 w:eastAsia="en-US"/>
    </w:rPr>
  </w:style>
  <w:style w:type="character" w:customStyle="1" w:styleId="NoteChar">
    <w:name w:val="Note Char"/>
    <w:basedOn w:val="DefaultParagraphFont"/>
    <w:link w:val="Note"/>
    <w:qFormat/>
    <w:locked/>
    <w:rsid w:val="00AE6FA6"/>
    <w:rPr>
      <w:rFonts w:ascii="Times New Roman" w:eastAsia="Times New Roman" w:hAnsi="Times New Roman" w:cs="Times New Roman"/>
      <w:kern w:val="0"/>
      <w:sz w:val="24"/>
      <w:szCs w:val="20"/>
      <w:lang w:val="en-GB" w:eastAsia="en-US"/>
    </w:rPr>
  </w:style>
  <w:style w:type="character" w:customStyle="1" w:styleId="ApprefBold">
    <w:name w:val="App_ref + Bold"/>
    <w:basedOn w:val="DefaultParagraphFont"/>
    <w:qFormat/>
    <w:rsid w:val="00AE6FA6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t.int/sites/default/files/Upload-files/APG-23/R23-WRC23-C-0062A19MSW-E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za.naderi.j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R23-WRC23-231120-TD-0092/en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TTA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Reza Naderi</cp:lastModifiedBy>
  <cp:revision>40</cp:revision>
  <dcterms:created xsi:type="dcterms:W3CDTF">2023-10-27T03:00:00Z</dcterms:created>
  <dcterms:modified xsi:type="dcterms:W3CDTF">2023-12-11T07:03:00Z</dcterms:modified>
</cp:coreProperties>
</file>