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159D0" w14:paraId="775F0B0E" w14:textId="77777777" w:rsidTr="00F320AA">
        <w:trPr>
          <w:cantSplit/>
        </w:trPr>
        <w:tc>
          <w:tcPr>
            <w:tcW w:w="1418" w:type="dxa"/>
            <w:vAlign w:val="center"/>
          </w:tcPr>
          <w:p w14:paraId="05206BDA" w14:textId="77777777" w:rsidR="00F320AA" w:rsidRPr="008159D0" w:rsidRDefault="00F320AA" w:rsidP="00F320AA">
            <w:pPr>
              <w:spacing w:before="0"/>
              <w:rPr>
                <w:rFonts w:ascii="Verdana" w:hAnsi="Verdana"/>
                <w:position w:val="6"/>
              </w:rPr>
            </w:pPr>
            <w:r w:rsidRPr="008159D0">
              <w:rPr>
                <w:noProof/>
                <w:lang w:val="en-US"/>
              </w:rPr>
              <w:drawing>
                <wp:inline distT="0" distB="0" distL="0" distR="0" wp14:anchorId="53C14457" wp14:editId="38679280">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7D6355B" w14:textId="77777777" w:rsidR="00F320AA" w:rsidRPr="008159D0" w:rsidRDefault="00F320AA" w:rsidP="00F320AA">
            <w:pPr>
              <w:spacing w:before="400" w:after="48" w:line="240" w:lineRule="atLeast"/>
              <w:rPr>
                <w:rFonts w:ascii="Verdana" w:hAnsi="Verdana"/>
                <w:position w:val="6"/>
              </w:rPr>
            </w:pPr>
            <w:r w:rsidRPr="008159D0">
              <w:rPr>
                <w:rFonts w:ascii="Verdana" w:hAnsi="Verdana" w:cs="Times"/>
                <w:b/>
                <w:position w:val="6"/>
                <w:sz w:val="22"/>
                <w:szCs w:val="22"/>
              </w:rPr>
              <w:t>World Radiocommunication Conference (WRC-23)</w:t>
            </w:r>
            <w:r w:rsidRPr="008159D0">
              <w:rPr>
                <w:rFonts w:ascii="Verdana" w:hAnsi="Verdana" w:cs="Times"/>
                <w:b/>
                <w:position w:val="6"/>
                <w:sz w:val="26"/>
                <w:szCs w:val="26"/>
              </w:rPr>
              <w:br/>
            </w:r>
            <w:r w:rsidRPr="008159D0">
              <w:rPr>
                <w:rFonts w:ascii="Verdana" w:hAnsi="Verdana"/>
                <w:b/>
                <w:bCs/>
                <w:position w:val="6"/>
                <w:sz w:val="18"/>
                <w:szCs w:val="18"/>
                <w:lang w:val="en-US"/>
              </w:rPr>
              <w:t>Dubai, 20 November - 15 December 2023</w:t>
            </w:r>
          </w:p>
        </w:tc>
        <w:tc>
          <w:tcPr>
            <w:tcW w:w="1951" w:type="dxa"/>
            <w:vAlign w:val="center"/>
          </w:tcPr>
          <w:p w14:paraId="7FC9AF82" w14:textId="77777777" w:rsidR="00F320AA" w:rsidRPr="008159D0" w:rsidRDefault="00EB0812" w:rsidP="00F320AA">
            <w:pPr>
              <w:spacing w:before="0" w:line="240" w:lineRule="atLeast"/>
            </w:pPr>
            <w:r w:rsidRPr="008159D0">
              <w:rPr>
                <w:noProof/>
              </w:rPr>
              <w:drawing>
                <wp:inline distT="0" distB="0" distL="0" distR="0" wp14:anchorId="786C0A9E" wp14:editId="63E05299">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159D0" w14:paraId="431E0E47" w14:textId="77777777">
        <w:trPr>
          <w:cantSplit/>
        </w:trPr>
        <w:tc>
          <w:tcPr>
            <w:tcW w:w="6911" w:type="dxa"/>
            <w:gridSpan w:val="2"/>
            <w:tcBorders>
              <w:bottom w:val="single" w:sz="12" w:space="0" w:color="auto"/>
            </w:tcBorders>
          </w:tcPr>
          <w:p w14:paraId="1438099B" w14:textId="77777777" w:rsidR="00A066F1" w:rsidRPr="008159D0"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4D539FA" w14:textId="77777777" w:rsidR="00A066F1" w:rsidRPr="008159D0" w:rsidRDefault="00A066F1" w:rsidP="00A066F1">
            <w:pPr>
              <w:spacing w:before="0" w:line="240" w:lineRule="atLeast"/>
              <w:rPr>
                <w:rFonts w:ascii="Verdana" w:hAnsi="Verdana"/>
                <w:szCs w:val="24"/>
              </w:rPr>
            </w:pPr>
          </w:p>
        </w:tc>
      </w:tr>
      <w:tr w:rsidR="00A066F1" w:rsidRPr="008159D0" w14:paraId="2BC26738" w14:textId="77777777">
        <w:trPr>
          <w:cantSplit/>
        </w:trPr>
        <w:tc>
          <w:tcPr>
            <w:tcW w:w="6911" w:type="dxa"/>
            <w:gridSpan w:val="2"/>
            <w:tcBorders>
              <w:top w:val="single" w:sz="12" w:space="0" w:color="auto"/>
            </w:tcBorders>
          </w:tcPr>
          <w:p w14:paraId="73168731" w14:textId="77777777" w:rsidR="00A066F1" w:rsidRPr="008159D0"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24D54FE" w14:textId="77777777" w:rsidR="00A066F1" w:rsidRPr="008159D0" w:rsidRDefault="00A066F1" w:rsidP="00A066F1">
            <w:pPr>
              <w:spacing w:before="0" w:line="240" w:lineRule="atLeast"/>
              <w:rPr>
                <w:rFonts w:ascii="Verdana" w:hAnsi="Verdana"/>
                <w:sz w:val="20"/>
              </w:rPr>
            </w:pPr>
          </w:p>
        </w:tc>
      </w:tr>
      <w:tr w:rsidR="00A066F1" w:rsidRPr="008159D0" w14:paraId="057A3784" w14:textId="77777777">
        <w:trPr>
          <w:cantSplit/>
          <w:trHeight w:val="23"/>
        </w:trPr>
        <w:tc>
          <w:tcPr>
            <w:tcW w:w="6911" w:type="dxa"/>
            <w:gridSpan w:val="2"/>
            <w:shd w:val="clear" w:color="auto" w:fill="D2EEFA"/>
          </w:tcPr>
          <w:p w14:paraId="5BFEAC1B" w14:textId="77777777" w:rsidR="00A066F1" w:rsidRPr="008159D0"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159D0">
              <w:rPr>
                <w:rFonts w:ascii="Verdana" w:hAnsi="Verdana"/>
                <w:sz w:val="20"/>
                <w:szCs w:val="20"/>
              </w:rPr>
              <w:t>PLENARY MEETING</w:t>
            </w:r>
          </w:p>
        </w:tc>
        <w:tc>
          <w:tcPr>
            <w:tcW w:w="3120" w:type="dxa"/>
            <w:gridSpan w:val="2"/>
            <w:shd w:val="clear" w:color="auto" w:fill="D2EEFA"/>
          </w:tcPr>
          <w:p w14:paraId="541D5CB4" w14:textId="77777777" w:rsidR="00A066F1" w:rsidRPr="008159D0" w:rsidRDefault="00E55816" w:rsidP="00AA666F">
            <w:pPr>
              <w:tabs>
                <w:tab w:val="left" w:pos="851"/>
              </w:tabs>
              <w:spacing w:before="0" w:line="240" w:lineRule="atLeast"/>
              <w:rPr>
                <w:rFonts w:ascii="Verdana" w:hAnsi="Verdana"/>
                <w:sz w:val="20"/>
              </w:rPr>
            </w:pPr>
            <w:r w:rsidRPr="008159D0">
              <w:rPr>
                <w:rFonts w:ascii="Verdana" w:hAnsi="Verdana"/>
                <w:b/>
                <w:sz w:val="20"/>
              </w:rPr>
              <w:t>Document 474</w:t>
            </w:r>
            <w:r w:rsidR="00A066F1" w:rsidRPr="008159D0">
              <w:rPr>
                <w:rFonts w:ascii="Verdana" w:hAnsi="Verdana"/>
                <w:b/>
                <w:sz w:val="20"/>
              </w:rPr>
              <w:t>-</w:t>
            </w:r>
            <w:r w:rsidR="005E10C9" w:rsidRPr="008159D0">
              <w:rPr>
                <w:rFonts w:ascii="Verdana" w:hAnsi="Verdana"/>
                <w:b/>
                <w:sz w:val="20"/>
              </w:rPr>
              <w:t>E</w:t>
            </w:r>
          </w:p>
        </w:tc>
      </w:tr>
      <w:tr w:rsidR="00A066F1" w:rsidRPr="008159D0" w14:paraId="00E34ADF" w14:textId="77777777">
        <w:trPr>
          <w:cantSplit/>
          <w:trHeight w:val="23"/>
        </w:trPr>
        <w:tc>
          <w:tcPr>
            <w:tcW w:w="6911" w:type="dxa"/>
            <w:gridSpan w:val="2"/>
            <w:shd w:val="clear" w:color="auto" w:fill="D2EEFA"/>
          </w:tcPr>
          <w:p w14:paraId="3CB0796D" w14:textId="77777777" w:rsidR="00A066F1" w:rsidRPr="008159D0" w:rsidRDefault="0009706C"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r w:rsidRPr="008159D0">
              <w:rPr>
                <w:rFonts w:ascii="Verdana" w:hAnsi="Verdana"/>
                <w:b/>
                <w:sz w:val="20"/>
              </w:rPr>
              <w:t>B40</w:t>
            </w:r>
          </w:p>
        </w:tc>
        <w:tc>
          <w:tcPr>
            <w:tcW w:w="3120" w:type="dxa"/>
            <w:gridSpan w:val="2"/>
            <w:shd w:val="clear" w:color="auto" w:fill="D2EEFA"/>
          </w:tcPr>
          <w:p w14:paraId="592F2675" w14:textId="77777777" w:rsidR="00A066F1" w:rsidRPr="008159D0" w:rsidRDefault="00420873" w:rsidP="00A066F1">
            <w:pPr>
              <w:tabs>
                <w:tab w:val="left" w:pos="993"/>
              </w:tabs>
              <w:spacing w:before="0"/>
              <w:rPr>
                <w:rFonts w:ascii="Verdana" w:hAnsi="Verdana"/>
                <w:sz w:val="20"/>
              </w:rPr>
            </w:pPr>
            <w:r w:rsidRPr="008159D0">
              <w:rPr>
                <w:rFonts w:ascii="Verdana" w:hAnsi="Verdana"/>
                <w:b/>
                <w:sz w:val="20"/>
              </w:rPr>
              <w:t>12 December 2023</w:t>
            </w:r>
          </w:p>
        </w:tc>
      </w:tr>
      <w:tr w:rsidR="00A066F1" w:rsidRPr="008159D0" w14:paraId="6070E099" w14:textId="77777777">
        <w:trPr>
          <w:cantSplit/>
          <w:trHeight w:val="23"/>
        </w:trPr>
        <w:tc>
          <w:tcPr>
            <w:tcW w:w="6911" w:type="dxa"/>
            <w:gridSpan w:val="2"/>
            <w:shd w:val="clear" w:color="auto" w:fill="auto"/>
          </w:tcPr>
          <w:p w14:paraId="2ABC03DC" w14:textId="77777777" w:rsidR="00A066F1" w:rsidRPr="008159D0"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9ECE744" w14:textId="77777777" w:rsidR="00A066F1" w:rsidRPr="008159D0" w:rsidRDefault="00A066F1" w:rsidP="00A066F1">
            <w:pPr>
              <w:tabs>
                <w:tab w:val="left" w:pos="993"/>
              </w:tabs>
              <w:spacing w:before="0"/>
              <w:rPr>
                <w:rFonts w:ascii="Verdana" w:hAnsi="Verdana"/>
                <w:b/>
                <w:sz w:val="20"/>
              </w:rPr>
            </w:pPr>
          </w:p>
        </w:tc>
      </w:tr>
      <w:tr w:rsidR="00A066F1" w:rsidRPr="008159D0" w14:paraId="77A1599B" w14:textId="77777777" w:rsidTr="00025864">
        <w:trPr>
          <w:cantSplit/>
          <w:trHeight w:val="23"/>
        </w:trPr>
        <w:tc>
          <w:tcPr>
            <w:tcW w:w="10031" w:type="dxa"/>
            <w:gridSpan w:val="4"/>
            <w:shd w:val="clear" w:color="auto" w:fill="auto"/>
          </w:tcPr>
          <w:p w14:paraId="65653B50" w14:textId="77777777" w:rsidR="00A066F1" w:rsidRPr="008159D0" w:rsidRDefault="00A066F1" w:rsidP="00A066F1">
            <w:pPr>
              <w:tabs>
                <w:tab w:val="left" w:pos="993"/>
              </w:tabs>
              <w:spacing w:before="0"/>
              <w:rPr>
                <w:rFonts w:ascii="Verdana" w:hAnsi="Verdana"/>
                <w:b/>
                <w:sz w:val="20"/>
              </w:rPr>
            </w:pPr>
          </w:p>
        </w:tc>
      </w:tr>
      <w:tr w:rsidR="00E55816" w:rsidRPr="008159D0" w14:paraId="48BFC390" w14:textId="77777777" w:rsidTr="00025864">
        <w:trPr>
          <w:cantSplit/>
          <w:trHeight w:val="23"/>
        </w:trPr>
        <w:tc>
          <w:tcPr>
            <w:tcW w:w="10031" w:type="dxa"/>
            <w:gridSpan w:val="4"/>
            <w:shd w:val="clear" w:color="auto" w:fill="auto"/>
          </w:tcPr>
          <w:p w14:paraId="03F77E95" w14:textId="77777777" w:rsidR="00E55816" w:rsidRPr="008159D0" w:rsidRDefault="007D5320" w:rsidP="00E55816">
            <w:pPr>
              <w:pStyle w:val="Title1"/>
            </w:pPr>
            <w:r w:rsidRPr="008159D0">
              <w:t xml:space="preserve">Fortieth SERIES OF TEXTS SUBMITTED BY </w:t>
            </w:r>
            <w:r w:rsidRPr="008159D0">
              <w:br/>
              <w:t>EDITORIAL COMMITTEE TO THE PLENARY MEETING</w:t>
            </w:r>
            <w:r w:rsidRPr="008159D0">
              <w:br/>
            </w:r>
          </w:p>
        </w:tc>
      </w:tr>
      <w:tr w:rsidR="00E55816" w:rsidRPr="008159D0" w14:paraId="4401FD39" w14:textId="77777777" w:rsidTr="00025864">
        <w:trPr>
          <w:cantSplit/>
          <w:trHeight w:val="23"/>
        </w:trPr>
        <w:tc>
          <w:tcPr>
            <w:tcW w:w="10031" w:type="dxa"/>
            <w:gridSpan w:val="4"/>
            <w:shd w:val="clear" w:color="auto" w:fill="auto"/>
          </w:tcPr>
          <w:p w14:paraId="7FBE564E" w14:textId="77777777" w:rsidR="00E55816" w:rsidRPr="008159D0" w:rsidRDefault="007D5320" w:rsidP="00E55816">
            <w:r w:rsidRPr="008159D0">
              <w:t xml:space="preserve">The following texts are submitted to the Plenary Meeting for </w:t>
            </w:r>
            <w:r w:rsidRPr="008159D0">
              <w:rPr>
                <w:b/>
                <w:bCs/>
              </w:rPr>
              <w:t>first reading:</w:t>
            </w:r>
            <w:r w:rsidRPr="008159D0">
              <w:br/>
            </w:r>
          </w:p>
        </w:tc>
      </w:tr>
    </w:tbl>
    <w:tbl>
      <w:tblPr>
        <w:tblW w:w="10031" w:type="dxa"/>
        <w:tblLayout w:type="fixed"/>
        <w:tblLook w:val="0000" w:firstRow="0" w:lastRow="0" w:firstColumn="0" w:lastColumn="0" w:noHBand="0" w:noVBand="0"/>
      </w:tblPr>
      <w:tblGrid>
        <w:gridCol w:w="1454"/>
        <w:gridCol w:w="1454"/>
        <w:gridCol w:w="5418"/>
        <w:gridCol w:w="1705"/>
      </w:tblGrid>
      <w:tr w:rsidR="00FC4EDB" w:rsidRPr="008159D0" w14:paraId="5F0B33CB"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bookmarkEnd w:id="5"/>
          <w:bookmarkEnd w:id="6"/>
          <w:p w14:paraId="1B5C5C89" w14:textId="77777777" w:rsidR="00FC4EDB" w:rsidRPr="008159D0" w:rsidRDefault="00000000">
            <w:pPr>
              <w:tabs>
                <w:tab w:val="left" w:pos="426"/>
              </w:tabs>
              <w:rPr>
                <w:b/>
              </w:rPr>
            </w:pPr>
            <w:r w:rsidRPr="008159D0">
              <w:rPr>
                <w:rFonts w:eastAsia="SimSun" w:cs="Traditional Arabic"/>
                <w:b/>
              </w:rPr>
              <w:t>Source</w:t>
            </w: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56ABAB" w14:textId="77777777" w:rsidR="00FC4EDB" w:rsidRPr="008159D0" w:rsidRDefault="00000000">
            <w:pPr>
              <w:tabs>
                <w:tab w:val="left" w:pos="426"/>
              </w:tabs>
              <w:rPr>
                <w:b/>
              </w:rPr>
            </w:pPr>
            <w:r w:rsidRPr="008159D0">
              <w:rPr>
                <w:rFonts w:eastAsia="SimSun" w:cs="Traditional Arabic"/>
                <w:b/>
              </w:rPr>
              <w:t>Document</w:t>
            </w:r>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0485EE" w14:textId="77777777" w:rsidR="00FC4EDB" w:rsidRPr="008159D0" w:rsidRDefault="00000000">
            <w:pPr>
              <w:tabs>
                <w:tab w:val="left" w:pos="426"/>
              </w:tabs>
              <w:rPr>
                <w:b/>
              </w:rPr>
            </w:pPr>
            <w:r w:rsidRPr="008159D0">
              <w:rPr>
                <w:rFonts w:eastAsia="SimSun" w:cs="Traditional Arabic"/>
                <w:b/>
              </w:rPr>
              <w:t>Title</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2C7E4" w14:textId="77777777" w:rsidR="00FC4EDB" w:rsidRPr="008159D0" w:rsidRDefault="00000000">
            <w:pPr>
              <w:tabs>
                <w:tab w:val="left" w:pos="426"/>
              </w:tabs>
              <w:rPr>
                <w:b/>
              </w:rPr>
            </w:pPr>
            <w:r w:rsidRPr="008159D0">
              <w:rPr>
                <w:rFonts w:eastAsia="SimSun" w:cs="Traditional Arabic"/>
                <w:b/>
              </w:rPr>
              <w:t>Agenda item</w:t>
            </w:r>
          </w:p>
        </w:tc>
      </w:tr>
      <w:tr w:rsidR="00FC4EDB" w:rsidRPr="008159D0" w14:paraId="05F7111F"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CED4E7" w14:textId="77777777" w:rsidR="00FC4EDB" w:rsidRPr="008159D0" w:rsidRDefault="00000000">
            <w:pPr>
              <w:tabs>
                <w:tab w:val="left" w:pos="426"/>
              </w:tabs>
            </w:pPr>
            <w:r w:rsidRPr="008159D0">
              <w:rPr>
                <w:rFonts w:eastAsia="SimSun" w:cs="Traditional Arabic"/>
              </w:rPr>
              <w:t>COM6</w:t>
            </w: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CA79CF" w14:textId="77777777" w:rsidR="00FC4EDB" w:rsidRPr="008159D0" w:rsidRDefault="00000000">
            <w:pPr>
              <w:tabs>
                <w:tab w:val="left" w:pos="426"/>
              </w:tabs>
              <w:rPr>
                <w:szCs w:val="24"/>
              </w:rPr>
            </w:pPr>
            <w:hyperlink r:id="rId14" w:tgtFrame="_blank" w:history="1">
              <w:r w:rsidR="0074767C" w:rsidRPr="008159D0">
                <w:rPr>
                  <w:rStyle w:val="Hyperlink"/>
                  <w:color w:val="0000FF"/>
                  <w:szCs w:val="24"/>
                </w:rPr>
                <w:t>466</w:t>
              </w:r>
            </w:hyperlink>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AFD682" w14:textId="323A4B0B" w:rsidR="00FC4EDB" w:rsidRPr="008159D0" w:rsidRDefault="00000000">
            <w:pPr>
              <w:tabs>
                <w:tab w:val="left" w:pos="426"/>
              </w:tabs>
            </w:pPr>
            <w:r w:rsidRPr="008159D0">
              <w:rPr>
                <w:rFonts w:eastAsia="SimSun" w:cs="Traditional Arabic"/>
              </w:rPr>
              <w:t>RESOLUTION COM6/</w:t>
            </w:r>
            <w:r w:rsidR="00EC7273">
              <w:rPr>
                <w:rFonts w:eastAsia="SimSun" w:cs="Traditional Arabic"/>
              </w:rPr>
              <w:t>3</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C53109" w14:textId="77777777" w:rsidR="00FC4EDB" w:rsidRPr="008159D0" w:rsidRDefault="00000000">
            <w:pPr>
              <w:tabs>
                <w:tab w:val="left" w:pos="426"/>
              </w:tabs>
              <w:jc w:val="center"/>
            </w:pPr>
            <w:r w:rsidRPr="008159D0">
              <w:rPr>
                <w:rFonts w:eastAsia="SimSun" w:cs="Traditional Arabic"/>
              </w:rPr>
              <w:t>10</w:t>
            </w:r>
          </w:p>
        </w:tc>
      </w:tr>
      <w:tr w:rsidR="00FC4EDB" w:rsidRPr="008159D0" w14:paraId="129F7536"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5886A2" w14:textId="77777777" w:rsidR="00FC4EDB" w:rsidRPr="008159D0" w:rsidRDefault="00FC4EDB">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31F3C8" w14:textId="77777777" w:rsidR="00FC4EDB" w:rsidRPr="008159D0" w:rsidRDefault="00000000">
            <w:pPr>
              <w:tabs>
                <w:tab w:val="left" w:pos="426"/>
              </w:tabs>
            </w:pPr>
            <w:hyperlink r:id="rId15"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620E1C" w14:textId="45B2DF6B" w:rsidR="00FC4EDB" w:rsidRPr="008159D0" w:rsidRDefault="00000000">
            <w:pPr>
              <w:tabs>
                <w:tab w:val="left" w:pos="426"/>
              </w:tabs>
            </w:pPr>
            <w:r w:rsidRPr="008159D0">
              <w:rPr>
                <w:rFonts w:eastAsia="SimSun" w:cs="Traditional Arabic"/>
              </w:rPr>
              <w:t>RESOLUTION</w:t>
            </w:r>
            <w:r w:rsidRPr="008159D0">
              <w:rPr>
                <w:rFonts w:eastAsia="SimSun" w:cs="Traditional Arabic"/>
              </w:rPr>
              <w:t xml:space="preserve"> </w:t>
            </w:r>
            <w:r w:rsidRPr="008159D0">
              <w:rPr>
                <w:rFonts w:eastAsia="SimSun" w:cs="Traditional Arabic"/>
              </w:rPr>
              <w:t>COM6/</w:t>
            </w:r>
            <w:r w:rsidR="004371E7">
              <w:rPr>
                <w:rFonts w:eastAsia="SimSun" w:cs="Traditional Arabic"/>
              </w:rPr>
              <w:t>4</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C40277" w14:textId="77777777" w:rsidR="00FC4EDB" w:rsidRPr="008159D0" w:rsidRDefault="00FC4EDB">
            <w:pPr>
              <w:tabs>
                <w:tab w:val="left" w:pos="426"/>
              </w:tabs>
              <w:jc w:val="center"/>
            </w:pPr>
          </w:p>
        </w:tc>
      </w:tr>
      <w:tr w:rsidR="00FC4EDB" w:rsidRPr="008159D0" w14:paraId="7FACA0E1" w14:textId="77777777">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605457" w14:textId="77777777" w:rsidR="00FC4EDB" w:rsidRPr="008159D0" w:rsidRDefault="00FC4EDB">
            <w:pPr>
              <w:tabs>
                <w:tab w:val="left" w:pos="426"/>
              </w:tabs>
            </w:pPr>
          </w:p>
        </w:tc>
        <w:tc>
          <w:tcPr>
            <w:tcW w:w="14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90382B" w14:textId="77777777" w:rsidR="00FC4EDB" w:rsidRPr="008159D0" w:rsidRDefault="00000000">
            <w:pPr>
              <w:tabs>
                <w:tab w:val="left" w:pos="426"/>
              </w:tabs>
            </w:pPr>
            <w:hyperlink r:id="rId16" w:tgtFrame="_blank" w:history="1"/>
          </w:p>
        </w:tc>
        <w:tc>
          <w:tcPr>
            <w:tcW w:w="5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C783B1" w14:textId="65D09999" w:rsidR="00FC4EDB" w:rsidRPr="008159D0" w:rsidRDefault="00000000">
            <w:pPr>
              <w:tabs>
                <w:tab w:val="left" w:pos="426"/>
              </w:tabs>
            </w:pPr>
            <w:r w:rsidRPr="008159D0">
              <w:rPr>
                <w:rFonts w:eastAsia="SimSun" w:cs="Traditional Arabic"/>
              </w:rPr>
              <w:t>RESOLUTION COM6/5</w:t>
            </w:r>
          </w:p>
        </w:tc>
        <w:tc>
          <w:tcPr>
            <w:tcW w:w="1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13EE60" w14:textId="77777777" w:rsidR="00FC4EDB" w:rsidRPr="008159D0" w:rsidRDefault="00FC4EDB">
            <w:pPr>
              <w:tabs>
                <w:tab w:val="left" w:pos="426"/>
              </w:tabs>
              <w:jc w:val="center"/>
            </w:pPr>
          </w:p>
        </w:tc>
      </w:tr>
    </w:tbl>
    <w:p w14:paraId="1CA4C6EF" w14:textId="77777777" w:rsidR="00FC4EDB" w:rsidRPr="008159D0" w:rsidRDefault="00FC4EDB"/>
    <w:tbl>
      <w:tblPr>
        <w:tblW w:w="10031" w:type="dxa"/>
        <w:tblLayout w:type="fixed"/>
        <w:tblLook w:val="04A0" w:firstRow="1" w:lastRow="0" w:firstColumn="1" w:lastColumn="0" w:noHBand="0" w:noVBand="1"/>
      </w:tblPr>
      <w:tblGrid>
        <w:gridCol w:w="6204"/>
        <w:gridCol w:w="3827"/>
      </w:tblGrid>
      <w:tr w:rsidR="00FC4EDB" w:rsidRPr="008159D0" w14:paraId="09119D6F" w14:textId="77777777">
        <w:trPr>
          <w:cantSplit/>
        </w:trPr>
        <w:tc>
          <w:tcPr>
            <w:tcW w:w="6204" w:type="dxa"/>
          </w:tcPr>
          <w:p w14:paraId="78708794" w14:textId="77777777" w:rsidR="00FC4EDB" w:rsidRPr="008159D0" w:rsidRDefault="00FC4EDB"/>
        </w:tc>
        <w:tc>
          <w:tcPr>
            <w:tcW w:w="3827" w:type="dxa"/>
          </w:tcPr>
          <w:p w14:paraId="100E20EB" w14:textId="77777777" w:rsidR="00FC4EDB" w:rsidRPr="008159D0" w:rsidRDefault="00000000">
            <w:pPr>
              <w:jc w:val="center"/>
            </w:pPr>
            <w:r w:rsidRPr="008159D0">
              <w:rPr>
                <w:rFonts w:eastAsia="SimSun" w:cs="Traditional Arabic"/>
              </w:rPr>
              <w:t>Mr. Christian Rissone</w:t>
            </w:r>
            <w:r w:rsidRPr="008159D0">
              <w:rPr>
                <w:rFonts w:eastAsia="SimSun" w:cs="Traditional Arabic"/>
              </w:rPr>
              <w:br/>
              <w:t>Chair, Committee 7</w:t>
            </w:r>
            <w:r w:rsidRPr="008159D0">
              <w:rPr>
                <w:rFonts w:eastAsia="SimSun" w:cs="Traditional Arabic"/>
              </w:rPr>
              <w:br/>
              <w:t>Office 102</w:t>
            </w:r>
            <w:r w:rsidRPr="008159D0">
              <w:rPr>
                <w:rFonts w:eastAsia="SimSun" w:cs="Traditional Arabic"/>
              </w:rPr>
              <w:br/>
            </w:r>
            <w:hyperlink r:id="rId17" w:tgtFrame="_blank" w:history="1">
              <w:r w:rsidR="0074767C" w:rsidRPr="008159D0">
                <w:rPr>
                  <w:color w:val="0000FF"/>
                  <w:sz w:val="20"/>
                  <w:u w:val="single"/>
                </w:rPr>
                <w:t>WRCedcom@itu.int</w:t>
              </w:r>
            </w:hyperlink>
          </w:p>
        </w:tc>
      </w:tr>
    </w:tbl>
    <w:p w14:paraId="03D1586F" w14:textId="77777777" w:rsidR="00FC4EDB" w:rsidRPr="008159D0" w:rsidRDefault="00FC4EDB">
      <w:pPr>
        <w:sectPr w:rsidR="00FC4EDB" w:rsidRPr="008159D0">
          <w:footerReference w:type="even" r:id="rId18"/>
          <w:footerReference w:type="default" r:id="rId19"/>
          <w:pgSz w:w="11907" w:h="16840" w:code="9"/>
          <w:pgMar w:top="1418" w:right="1134" w:bottom="1418" w:left="1134" w:header="720" w:footer="720" w:gutter="0"/>
          <w:pgNumType w:start="1"/>
          <w:cols w:space="720"/>
          <w:titlePg/>
          <w:docGrid w:linePitch="326"/>
        </w:sectPr>
      </w:pPr>
    </w:p>
    <w:p w14:paraId="113A5B24" w14:textId="77777777" w:rsidR="00FC4EDB" w:rsidRPr="00AF7DDF" w:rsidRDefault="00000000">
      <w:pPr>
        <w:pStyle w:val="Agendaitem"/>
        <w:rPr>
          <w:lang w:val="en-GB"/>
        </w:rPr>
      </w:pPr>
      <w:r w:rsidRPr="00AF7DDF">
        <w:rPr>
          <w:lang w:val="en-GB"/>
        </w:rPr>
        <w:lastRenderedPageBreak/>
        <w:t>Agenda item 10</w:t>
      </w:r>
    </w:p>
    <w:p w14:paraId="06C72C21" w14:textId="77777777" w:rsidR="00FC4EDB" w:rsidRPr="008159D0" w:rsidRDefault="00000000">
      <w:pPr>
        <w:pStyle w:val="Proposal"/>
      </w:pPr>
      <w:r w:rsidRPr="008159D0">
        <w:t>ADD</w:t>
      </w:r>
      <w:r w:rsidRPr="008159D0">
        <w:tab/>
        <w:t>B40/474/1</w:t>
      </w:r>
      <w:r w:rsidRPr="008159D0">
        <w:rPr>
          <w:vanish/>
          <w:color w:val="7F7F7F" w:themeColor="text1" w:themeTint="80"/>
          <w:vertAlign w:val="superscript"/>
        </w:rPr>
        <w:t>#10529</w:t>
      </w:r>
    </w:p>
    <w:p w14:paraId="21F49C5F" w14:textId="280DA6A2" w:rsidR="001C00A3" w:rsidRPr="008159D0" w:rsidRDefault="00000000" w:rsidP="007B3221">
      <w:pPr>
        <w:pStyle w:val="ResNo"/>
      </w:pPr>
      <w:r w:rsidRPr="008159D0">
        <w:t>Resolution COM6/</w:t>
      </w:r>
      <w:r w:rsidR="00B41AB6">
        <w:t>3</w:t>
      </w:r>
      <w:r w:rsidRPr="008159D0">
        <w:t xml:space="preserve"> (WRC</w:t>
      </w:r>
      <w:r w:rsidRPr="008159D0">
        <w:noBreakHyphen/>
        <w:t>23)</w:t>
      </w:r>
    </w:p>
    <w:p w14:paraId="2B0B36CC" w14:textId="13EC8F40" w:rsidR="00987FA9" w:rsidRPr="008159D0" w:rsidRDefault="00987FA9" w:rsidP="00987FA9">
      <w:pPr>
        <w:pStyle w:val="Restitle"/>
      </w:pPr>
      <w:r w:rsidRPr="008159D0">
        <w:t>Studies relating to the use of the frequency band 51.4-52.4 GHz to enable its use by gateway earth stations transmitting to non-geostationary-satellite orbit systems in the fixed-satellite service (Earth-to-space)</w:t>
      </w:r>
    </w:p>
    <w:p w14:paraId="1A310DBF" w14:textId="77777777" w:rsidR="001C00A3" w:rsidRPr="008159D0" w:rsidRDefault="00000000" w:rsidP="007B3221">
      <w:pPr>
        <w:pStyle w:val="Normalaftertitle"/>
      </w:pPr>
      <w:r w:rsidRPr="008159D0">
        <w:t>The</w:t>
      </w:r>
      <w:r w:rsidRPr="008159D0">
        <w:rPr>
          <w:spacing w:val="-3"/>
        </w:rPr>
        <w:t xml:space="preserve"> </w:t>
      </w:r>
      <w:r w:rsidRPr="008159D0">
        <w:t>World</w:t>
      </w:r>
      <w:r w:rsidRPr="008159D0">
        <w:rPr>
          <w:spacing w:val="-1"/>
        </w:rPr>
        <w:t xml:space="preserve"> </w:t>
      </w:r>
      <w:r w:rsidRPr="008159D0">
        <w:t>Radiocommunication</w:t>
      </w:r>
      <w:r w:rsidRPr="008159D0">
        <w:rPr>
          <w:spacing w:val="-1"/>
        </w:rPr>
        <w:t xml:space="preserve"> </w:t>
      </w:r>
      <w:r w:rsidRPr="008159D0">
        <w:t>Conference</w:t>
      </w:r>
      <w:r w:rsidRPr="008159D0">
        <w:rPr>
          <w:spacing w:val="-3"/>
        </w:rPr>
        <w:t xml:space="preserve"> </w:t>
      </w:r>
      <w:r w:rsidRPr="008159D0">
        <w:t>(Dubai,</w:t>
      </w:r>
      <w:r w:rsidRPr="008159D0">
        <w:rPr>
          <w:spacing w:val="-1"/>
        </w:rPr>
        <w:t xml:space="preserve"> </w:t>
      </w:r>
      <w:r w:rsidRPr="008159D0">
        <w:t>2023),</w:t>
      </w:r>
    </w:p>
    <w:p w14:paraId="66E90D22" w14:textId="77777777" w:rsidR="001C00A3" w:rsidRPr="008159D0" w:rsidRDefault="00000000" w:rsidP="007B3221">
      <w:pPr>
        <w:pStyle w:val="Call"/>
      </w:pPr>
      <w:r w:rsidRPr="008159D0">
        <w:t>considering</w:t>
      </w:r>
    </w:p>
    <w:p w14:paraId="15A9CCC3" w14:textId="77777777" w:rsidR="001C00A3" w:rsidRPr="008159D0" w:rsidRDefault="00000000" w:rsidP="007B3221">
      <w:r w:rsidRPr="008159D0">
        <w:rPr>
          <w:i/>
          <w:iCs/>
        </w:rPr>
        <w:t>a)</w:t>
      </w:r>
      <w:r w:rsidRPr="008159D0">
        <w:tab/>
        <w:t>that</w:t>
      </w:r>
      <w:r w:rsidRPr="008159D0">
        <w:rPr>
          <w:spacing w:val="-1"/>
        </w:rPr>
        <w:t xml:space="preserve"> </w:t>
      </w:r>
      <w:r w:rsidRPr="008159D0">
        <w:t>satellite</w:t>
      </w:r>
      <w:r w:rsidRPr="008159D0">
        <w:rPr>
          <w:spacing w:val="-2"/>
        </w:rPr>
        <w:t xml:space="preserve"> </w:t>
      </w:r>
      <w:r w:rsidRPr="008159D0">
        <w:t>systems</w:t>
      </w:r>
      <w:r w:rsidRPr="008159D0">
        <w:rPr>
          <w:spacing w:val="-1"/>
        </w:rPr>
        <w:t xml:space="preserve"> </w:t>
      </w:r>
      <w:r w:rsidRPr="008159D0">
        <w:t>are increasingly</w:t>
      </w:r>
      <w:r w:rsidRPr="008159D0">
        <w:rPr>
          <w:spacing w:val="-6"/>
        </w:rPr>
        <w:t xml:space="preserve"> </w:t>
      </w:r>
      <w:r w:rsidRPr="008159D0">
        <w:t>being</w:t>
      </w:r>
      <w:r w:rsidRPr="008159D0">
        <w:rPr>
          <w:spacing w:val="-4"/>
        </w:rPr>
        <w:t xml:space="preserve"> </w:t>
      </w:r>
      <w:r w:rsidRPr="008159D0">
        <w:t>used</w:t>
      </w:r>
      <w:r w:rsidRPr="008159D0">
        <w:rPr>
          <w:spacing w:val="-1"/>
        </w:rPr>
        <w:t xml:space="preserve"> </w:t>
      </w:r>
      <w:r w:rsidRPr="008159D0">
        <w:t>to</w:t>
      </w:r>
      <w:r w:rsidRPr="008159D0">
        <w:rPr>
          <w:spacing w:val="-1"/>
        </w:rPr>
        <w:t xml:space="preserve"> </w:t>
      </w:r>
      <w:r w:rsidRPr="008159D0">
        <w:t>deliver</w:t>
      </w:r>
      <w:r w:rsidRPr="008159D0">
        <w:rPr>
          <w:spacing w:val="-2"/>
        </w:rPr>
        <w:t xml:space="preserve"> </w:t>
      </w:r>
      <w:r w:rsidRPr="008159D0">
        <w:t>broadband</w:t>
      </w:r>
      <w:r w:rsidRPr="008159D0">
        <w:rPr>
          <w:spacing w:val="-1"/>
        </w:rPr>
        <w:t xml:space="preserve"> </w:t>
      </w:r>
      <w:r w:rsidRPr="008159D0">
        <w:t>services</w:t>
      </w:r>
      <w:r w:rsidRPr="008159D0">
        <w:rPr>
          <w:spacing w:val="-1"/>
        </w:rPr>
        <w:t xml:space="preserve"> </w:t>
      </w:r>
      <w:r w:rsidRPr="008159D0">
        <w:t>and</w:t>
      </w:r>
      <w:r w:rsidRPr="008159D0">
        <w:rPr>
          <w:spacing w:val="-1"/>
        </w:rPr>
        <w:t xml:space="preserve"> </w:t>
      </w:r>
      <w:r w:rsidRPr="008159D0">
        <w:t>can</w:t>
      </w:r>
      <w:r w:rsidRPr="008159D0">
        <w:rPr>
          <w:spacing w:val="-57"/>
        </w:rPr>
        <w:t xml:space="preserve"> </w:t>
      </w:r>
      <w:r w:rsidRPr="008159D0">
        <w:t>help</w:t>
      </w:r>
      <w:r w:rsidRPr="008159D0">
        <w:rPr>
          <w:spacing w:val="-1"/>
        </w:rPr>
        <w:t xml:space="preserve"> </w:t>
      </w:r>
      <w:r w:rsidRPr="008159D0">
        <w:t>enable</w:t>
      </w:r>
      <w:r w:rsidRPr="008159D0">
        <w:rPr>
          <w:spacing w:val="-1"/>
        </w:rPr>
        <w:t xml:space="preserve"> </w:t>
      </w:r>
      <w:r w:rsidRPr="008159D0">
        <w:t>universal broadband</w:t>
      </w:r>
      <w:r w:rsidRPr="008159D0">
        <w:rPr>
          <w:spacing w:val="2"/>
        </w:rPr>
        <w:t xml:space="preserve"> </w:t>
      </w:r>
      <w:r w:rsidRPr="008159D0">
        <w:t>access;</w:t>
      </w:r>
    </w:p>
    <w:p w14:paraId="2E210E89" w14:textId="6A8D34E2" w:rsidR="001C00A3" w:rsidRPr="008159D0" w:rsidRDefault="00000000" w:rsidP="007B3221">
      <w:r w:rsidRPr="008159D0">
        <w:rPr>
          <w:i/>
          <w:iCs/>
        </w:rPr>
        <w:t>b)</w:t>
      </w:r>
      <w:r w:rsidRPr="008159D0">
        <w:tab/>
        <w:t>that</w:t>
      </w:r>
      <w:r w:rsidRPr="008159D0">
        <w:rPr>
          <w:spacing w:val="-3"/>
        </w:rPr>
        <w:t xml:space="preserve"> </w:t>
      </w:r>
      <w:r w:rsidRPr="008159D0">
        <w:t>next-generation</w:t>
      </w:r>
      <w:r w:rsidRPr="008159D0">
        <w:rPr>
          <w:spacing w:val="-2"/>
        </w:rPr>
        <w:t xml:space="preserve"> </w:t>
      </w:r>
      <w:r w:rsidRPr="008159D0">
        <w:t>fixed-satellite</w:t>
      </w:r>
      <w:r w:rsidRPr="008159D0">
        <w:rPr>
          <w:spacing w:val="-3"/>
        </w:rPr>
        <w:t xml:space="preserve"> </w:t>
      </w:r>
      <w:r w:rsidRPr="008159D0">
        <w:t>service (FSS) technologies</w:t>
      </w:r>
      <w:r w:rsidRPr="008159D0">
        <w:rPr>
          <w:spacing w:val="-2"/>
        </w:rPr>
        <w:t xml:space="preserve"> </w:t>
      </w:r>
      <w:r w:rsidRPr="008159D0">
        <w:t>for</w:t>
      </w:r>
      <w:r w:rsidRPr="008159D0">
        <w:rPr>
          <w:spacing w:val="-3"/>
        </w:rPr>
        <w:t xml:space="preserve"> </w:t>
      </w:r>
      <w:r w:rsidRPr="008159D0">
        <w:t>broadband</w:t>
      </w:r>
      <w:r w:rsidRPr="008159D0">
        <w:rPr>
          <w:spacing w:val="-2"/>
        </w:rPr>
        <w:t xml:space="preserve"> </w:t>
      </w:r>
      <w:r w:rsidRPr="008159D0">
        <w:t>will</w:t>
      </w:r>
      <w:r w:rsidRPr="008159D0">
        <w:rPr>
          <w:spacing w:val="-2"/>
        </w:rPr>
        <w:t xml:space="preserve"> </w:t>
      </w:r>
      <w:proofErr w:type="gramStart"/>
      <w:r w:rsidRPr="008159D0">
        <w:t>increase</w:t>
      </w:r>
      <w:r w:rsidR="00990286">
        <w:t xml:space="preserve"> </w:t>
      </w:r>
      <w:r w:rsidRPr="008159D0">
        <w:rPr>
          <w:spacing w:val="-57"/>
        </w:rPr>
        <w:t xml:space="preserve"> </w:t>
      </w:r>
      <w:r w:rsidRPr="008159D0">
        <w:t>speeds</w:t>
      </w:r>
      <w:proofErr w:type="gramEnd"/>
      <w:r w:rsidRPr="008159D0">
        <w:t>,</w:t>
      </w:r>
      <w:r w:rsidRPr="008159D0">
        <w:rPr>
          <w:spacing w:val="-1"/>
        </w:rPr>
        <w:t xml:space="preserve"> </w:t>
      </w:r>
      <w:r w:rsidRPr="008159D0">
        <w:t>with faster</w:t>
      </w:r>
      <w:r w:rsidRPr="008159D0">
        <w:rPr>
          <w:spacing w:val="-1"/>
        </w:rPr>
        <w:t xml:space="preserve"> </w:t>
      </w:r>
      <w:r w:rsidRPr="008159D0">
        <w:t>rates</w:t>
      </w:r>
      <w:r w:rsidRPr="008159D0">
        <w:rPr>
          <w:spacing w:val="2"/>
        </w:rPr>
        <w:t xml:space="preserve"> </w:t>
      </w:r>
      <w:r w:rsidRPr="008159D0">
        <w:t>expected in</w:t>
      </w:r>
      <w:r w:rsidRPr="008159D0">
        <w:rPr>
          <w:spacing w:val="-1"/>
        </w:rPr>
        <w:t xml:space="preserve"> </w:t>
      </w:r>
      <w:r w:rsidRPr="008159D0">
        <w:t>the</w:t>
      </w:r>
      <w:r w:rsidRPr="008159D0">
        <w:rPr>
          <w:spacing w:val="-1"/>
        </w:rPr>
        <w:t xml:space="preserve"> </w:t>
      </w:r>
      <w:r w:rsidRPr="008159D0">
        <w:t>near</w:t>
      </w:r>
      <w:r w:rsidRPr="008159D0">
        <w:rPr>
          <w:spacing w:val="1"/>
        </w:rPr>
        <w:t xml:space="preserve"> </w:t>
      </w:r>
      <w:r w:rsidRPr="008159D0">
        <w:t>future;</w:t>
      </w:r>
    </w:p>
    <w:p w14:paraId="4537725D" w14:textId="77777777" w:rsidR="001C00A3" w:rsidRPr="008159D0" w:rsidRDefault="00000000" w:rsidP="007B3221">
      <w:r w:rsidRPr="008159D0">
        <w:rPr>
          <w:i/>
          <w:iCs/>
        </w:rPr>
        <w:t>c)</w:t>
      </w:r>
      <w:r w:rsidRPr="008159D0">
        <w:tab/>
        <w:t>that technological developments such as advances in spot-beam technologies and</w:t>
      </w:r>
      <w:r w:rsidRPr="008159D0">
        <w:rPr>
          <w:spacing w:val="1"/>
        </w:rPr>
        <w:t xml:space="preserve"> </w:t>
      </w:r>
      <w:r w:rsidRPr="008159D0">
        <w:t xml:space="preserve">frequency reuse are used by the FSS in frequency bands above 30 GHz to increase the efficient use of </w:t>
      </w:r>
      <w:r w:rsidRPr="008159D0">
        <w:rPr>
          <w:spacing w:val="-57"/>
        </w:rPr>
        <w:t xml:space="preserve">    </w:t>
      </w:r>
      <w:r w:rsidRPr="008159D0">
        <w:t>spectrum;</w:t>
      </w:r>
    </w:p>
    <w:p w14:paraId="7B2B3665" w14:textId="77777777" w:rsidR="001C00A3" w:rsidRPr="008159D0" w:rsidRDefault="00000000" w:rsidP="007B3221">
      <w:pPr>
        <w:rPr>
          <w:lang w:eastAsia="zh-CN"/>
        </w:rPr>
      </w:pPr>
      <w:r w:rsidRPr="008159D0">
        <w:rPr>
          <w:i/>
          <w:iCs/>
          <w:lang w:eastAsia="zh-CN"/>
        </w:rPr>
        <w:t>d)</w:t>
      </w:r>
      <w:r w:rsidRPr="008159D0">
        <w:rPr>
          <w:lang w:eastAsia="zh-CN"/>
        </w:rPr>
        <w:tab/>
        <w:t xml:space="preserve">that fixed-satellite applications in </w:t>
      </w:r>
      <w:r w:rsidRPr="008159D0">
        <w:t>frequency bands</w:t>
      </w:r>
      <w:r w:rsidRPr="008159D0">
        <w:rPr>
          <w:lang w:eastAsia="zh-CN"/>
        </w:rPr>
        <w:t xml:space="preserve"> above 30 GHz, such as feeder links, may be easier to share with other radiocommunication services than high-density </w:t>
      </w:r>
      <w:r w:rsidRPr="008159D0">
        <w:t>FSS</w:t>
      </w:r>
      <w:r w:rsidRPr="008159D0">
        <w:rPr>
          <w:lang w:eastAsia="zh-CN"/>
        </w:rPr>
        <w:t> (HDFSS) applications;</w:t>
      </w:r>
    </w:p>
    <w:p w14:paraId="72CCABA1" w14:textId="77777777" w:rsidR="00E141F9" w:rsidRPr="008159D0" w:rsidRDefault="00E141F9" w:rsidP="00E141F9">
      <w:r w:rsidRPr="008159D0">
        <w:rPr>
          <w:i/>
          <w:iCs/>
        </w:rPr>
        <w:t>e)</w:t>
      </w:r>
      <w:r w:rsidRPr="008159D0">
        <w:tab/>
        <w:t xml:space="preserve">that the current frequency allocations to the FSS in the frequency band 51.4-52.4 GHz do not enable its use by non-geostationary-satellite orbit (non-GSO) gateway operations, and as such do not meet the expected needs of such </w:t>
      </w:r>
      <w:proofErr w:type="gramStart"/>
      <w:r w:rsidRPr="008159D0">
        <w:t>systems;</w:t>
      </w:r>
      <w:proofErr w:type="gramEnd"/>
    </w:p>
    <w:p w14:paraId="046A8388" w14:textId="77777777" w:rsidR="001C00A3" w:rsidRPr="008159D0" w:rsidRDefault="00000000" w:rsidP="007B3221">
      <w:r w:rsidRPr="008159D0">
        <w:rPr>
          <w:i/>
          <w:iCs/>
        </w:rPr>
        <w:t>f)</w:t>
      </w:r>
      <w:r w:rsidRPr="008159D0">
        <w:tab/>
        <w:t>that the protection of the Earth exploration-satellite service (EESS) (passive) in the adjacent frequency bands 50.2-50.4 GHz and 52.6-54.25 GHz is vital to weather prediction and disaster management,</w:t>
      </w:r>
    </w:p>
    <w:p w14:paraId="0544B51A" w14:textId="77777777" w:rsidR="001C00A3" w:rsidRPr="008159D0" w:rsidRDefault="00000000" w:rsidP="007B3221">
      <w:pPr>
        <w:pStyle w:val="Call"/>
      </w:pPr>
      <w:r w:rsidRPr="008159D0">
        <w:t>recognizing</w:t>
      </w:r>
    </w:p>
    <w:p w14:paraId="37E45EDE" w14:textId="77777777" w:rsidR="001C00A3" w:rsidRPr="008159D0" w:rsidRDefault="00000000" w:rsidP="007B3221">
      <w:r w:rsidRPr="008159D0">
        <w:rPr>
          <w:i/>
          <w:iCs/>
        </w:rPr>
        <w:t>a)</w:t>
      </w:r>
      <w:r w:rsidRPr="008159D0">
        <w:tab/>
        <w:t>the need to protect existing services when considering frequency bands for possible additional allocations to any service;</w:t>
      </w:r>
    </w:p>
    <w:p w14:paraId="4F183BDF" w14:textId="77777777" w:rsidR="001C00A3" w:rsidRPr="008159D0" w:rsidRDefault="00000000" w:rsidP="007B3221">
      <w:r w:rsidRPr="008159D0">
        <w:rPr>
          <w:i/>
          <w:iCs/>
        </w:rPr>
        <w:t>b)</w:t>
      </w:r>
      <w:r w:rsidRPr="008159D0">
        <w:tab/>
        <w:t>that the conditions in No. </w:t>
      </w:r>
      <w:r w:rsidRPr="008159D0">
        <w:rPr>
          <w:rStyle w:val="Artref"/>
          <w:b/>
          <w:bCs/>
        </w:rPr>
        <w:t>5.555C</w:t>
      </w:r>
      <w:r w:rsidRPr="008159D0">
        <w:t xml:space="preserve"> with respect to </w:t>
      </w:r>
      <w:r w:rsidRPr="008159D0">
        <w:rPr>
          <w:rFonts w:eastAsiaTheme="minorHAnsi"/>
        </w:rPr>
        <w:t>geostationary-satellite orbit</w:t>
      </w:r>
      <w:r w:rsidRPr="008159D0">
        <w:t> (GSO) networks should not be changed;</w:t>
      </w:r>
    </w:p>
    <w:p w14:paraId="490CA1A0" w14:textId="77777777" w:rsidR="004F7F9B" w:rsidRPr="008159D0" w:rsidRDefault="004F7F9B" w:rsidP="004F7F9B">
      <w:r w:rsidRPr="008159D0">
        <w:rPr>
          <w:i/>
        </w:rPr>
        <w:t>c</w:t>
      </w:r>
      <w:r w:rsidRPr="008159D0">
        <w:rPr>
          <w:i/>
          <w:iCs/>
        </w:rPr>
        <w:t>)</w:t>
      </w:r>
      <w:r w:rsidRPr="008159D0">
        <w:tab/>
        <w:t>that the frequency band 51.4-52.4 GHz is allocated to the fixed and mobile services, which will need to be protected, and is available for high-density applications in the fixed service, as indicated in No. </w:t>
      </w:r>
      <w:proofErr w:type="gramStart"/>
      <w:r w:rsidRPr="008159D0">
        <w:rPr>
          <w:rStyle w:val="Artref"/>
          <w:b/>
          <w:bCs/>
        </w:rPr>
        <w:t>5.547</w:t>
      </w:r>
      <w:r w:rsidRPr="008159D0">
        <w:t>;</w:t>
      </w:r>
      <w:proofErr w:type="gramEnd"/>
    </w:p>
    <w:p w14:paraId="5B140A97" w14:textId="5DB42BF0" w:rsidR="000976B0" w:rsidRDefault="00000000" w:rsidP="007B3221">
      <w:r w:rsidRPr="008159D0">
        <w:rPr>
          <w:i/>
          <w:iCs/>
        </w:rPr>
        <w:t>d)</w:t>
      </w:r>
      <w:r w:rsidRPr="008159D0">
        <w:tab/>
        <w:t>that No. </w:t>
      </w:r>
      <w:r w:rsidRPr="008159D0">
        <w:rPr>
          <w:rStyle w:val="Artref"/>
          <w:b/>
          <w:bCs/>
        </w:rPr>
        <w:t>5.340</w:t>
      </w:r>
      <w:r w:rsidRPr="008159D0">
        <w:t xml:space="preserve"> applies to the frequency bands 50.2-50.4 GHz and 52.6-54.25 </w:t>
      </w:r>
      <w:proofErr w:type="gramStart"/>
      <w:r w:rsidRPr="008159D0">
        <w:t>GHz;</w:t>
      </w:r>
      <w:proofErr w:type="gramEnd"/>
    </w:p>
    <w:p w14:paraId="640683F5" w14:textId="77777777" w:rsidR="000976B0" w:rsidRDefault="000976B0">
      <w:pPr>
        <w:tabs>
          <w:tab w:val="clear" w:pos="1134"/>
          <w:tab w:val="clear" w:pos="1871"/>
          <w:tab w:val="clear" w:pos="2268"/>
        </w:tabs>
        <w:overflowPunct/>
        <w:autoSpaceDE/>
        <w:autoSpaceDN/>
        <w:adjustRightInd/>
        <w:spacing w:before="0"/>
        <w:textAlignment w:val="auto"/>
      </w:pPr>
      <w:r>
        <w:br w:type="page"/>
      </w:r>
    </w:p>
    <w:p w14:paraId="2AE732E0" w14:textId="77777777" w:rsidR="001C00A3" w:rsidRPr="008159D0" w:rsidRDefault="00000000" w:rsidP="007B3221">
      <w:r w:rsidRPr="008159D0">
        <w:rPr>
          <w:i/>
          <w:iCs/>
        </w:rPr>
        <w:lastRenderedPageBreak/>
        <w:t>e)</w:t>
      </w:r>
      <w:r w:rsidRPr="008159D0">
        <w:tab/>
        <w:t>that in the frequency band 51.4-54.25 GHz, radio astronomy observations are carried</w:t>
      </w:r>
      <w:r w:rsidRPr="008159D0">
        <w:rPr>
          <w:spacing w:val="1"/>
        </w:rPr>
        <w:t xml:space="preserve"> </w:t>
      </w:r>
      <w:r w:rsidRPr="008159D0">
        <w:t>out under national arrangements, as indicated in No. </w:t>
      </w:r>
      <w:r w:rsidRPr="008159D0">
        <w:rPr>
          <w:rStyle w:val="Artref"/>
          <w:b/>
          <w:bCs/>
        </w:rPr>
        <w:t>5.556</w:t>
      </w:r>
      <w:r w:rsidRPr="008159D0">
        <w:t>, and that appropriate measures may have</w:t>
      </w:r>
      <w:r w:rsidRPr="008159D0">
        <w:rPr>
          <w:spacing w:val="-2"/>
        </w:rPr>
        <w:t xml:space="preserve"> </w:t>
      </w:r>
      <w:r w:rsidRPr="008159D0">
        <w:t>to be</w:t>
      </w:r>
      <w:r w:rsidRPr="008159D0">
        <w:rPr>
          <w:spacing w:val="-1"/>
        </w:rPr>
        <w:t xml:space="preserve"> </w:t>
      </w:r>
      <w:r w:rsidRPr="008159D0">
        <w:t>defined to protect the radio astronomy</w:t>
      </w:r>
      <w:r w:rsidRPr="008159D0">
        <w:rPr>
          <w:spacing w:val="-5"/>
        </w:rPr>
        <w:t xml:space="preserve"> </w:t>
      </w:r>
      <w:proofErr w:type="gramStart"/>
      <w:r w:rsidRPr="008159D0">
        <w:t>service;</w:t>
      </w:r>
      <w:proofErr w:type="gramEnd"/>
    </w:p>
    <w:p w14:paraId="094C4872" w14:textId="3D4F6B14" w:rsidR="00CB74F7" w:rsidRPr="008159D0" w:rsidRDefault="00CB74F7" w:rsidP="00CB74F7">
      <w:r w:rsidRPr="008159D0">
        <w:rPr>
          <w:i/>
          <w:iCs/>
        </w:rPr>
        <w:t>f)</w:t>
      </w:r>
      <w:r w:rsidRPr="008159D0">
        <w:tab/>
        <w:t>that Report ITU</w:t>
      </w:r>
      <w:r w:rsidRPr="008159D0">
        <w:noBreakHyphen/>
        <w:t xml:space="preserve">R S.2461 identifies the spectrum needs in the frequency band 51.4-52.4 GHz for additional FSS spectrum (Earth-to-space) for both GSO networks and non-GSO </w:t>
      </w:r>
      <w:proofErr w:type="gramStart"/>
      <w:r w:rsidRPr="008159D0">
        <w:t>systems;</w:t>
      </w:r>
      <w:proofErr w:type="gramEnd"/>
    </w:p>
    <w:p w14:paraId="09B1EE46" w14:textId="77777777" w:rsidR="001C00A3" w:rsidRPr="008159D0" w:rsidRDefault="00000000" w:rsidP="007B3221">
      <w:r w:rsidRPr="008159D0">
        <w:rPr>
          <w:i/>
          <w:iCs/>
        </w:rPr>
        <w:t>g)</w:t>
      </w:r>
      <w:r w:rsidRPr="008159D0">
        <w:tab/>
        <w:t>that the use of the frequency band 51.4-52.4 GHz by the FSS (Earth-to-space) is limited only to GSO networks and associated gateway earth stations</w:t>
      </w:r>
      <w:r w:rsidRPr="008159D0">
        <w:rPr>
          <w:spacing w:val="1"/>
        </w:rPr>
        <w:t xml:space="preserve"> </w:t>
      </w:r>
      <w:r w:rsidRPr="008159D0">
        <w:t>with a minimum antenna diameter of 2.4 metres, in accordance with No. </w:t>
      </w:r>
      <w:r w:rsidRPr="008159D0">
        <w:rPr>
          <w:rStyle w:val="Artref"/>
          <w:b/>
          <w:bCs/>
        </w:rPr>
        <w:t>5.555C</w:t>
      </w:r>
      <w:r w:rsidRPr="008159D0">
        <w:t>, as a result of</w:t>
      </w:r>
      <w:r w:rsidRPr="008159D0">
        <w:rPr>
          <w:spacing w:val="1"/>
        </w:rPr>
        <w:t xml:space="preserve"> </w:t>
      </w:r>
      <w:r w:rsidRPr="008159D0">
        <w:t>WRC</w:t>
      </w:r>
      <w:r w:rsidRPr="008159D0">
        <w:noBreakHyphen/>
        <w:t xml:space="preserve">19 </w:t>
      </w:r>
      <w:proofErr w:type="gramStart"/>
      <w:r w:rsidRPr="008159D0">
        <w:t>studies;</w:t>
      </w:r>
      <w:proofErr w:type="gramEnd"/>
    </w:p>
    <w:p w14:paraId="0A0E971A" w14:textId="77777777" w:rsidR="001C00A3" w:rsidRPr="008159D0" w:rsidRDefault="00000000" w:rsidP="007B3221">
      <w:r w:rsidRPr="008159D0">
        <w:rPr>
          <w:i/>
          <w:iCs/>
        </w:rPr>
        <w:t>h)</w:t>
      </w:r>
      <w:r w:rsidRPr="008159D0">
        <w:tab/>
        <w:t>that,</w:t>
      </w:r>
      <w:r w:rsidRPr="008159D0">
        <w:rPr>
          <w:spacing w:val="-1"/>
        </w:rPr>
        <w:t xml:space="preserve"> </w:t>
      </w:r>
      <w:r w:rsidRPr="008159D0">
        <w:t>in</w:t>
      </w:r>
      <w:r w:rsidRPr="008159D0">
        <w:rPr>
          <w:spacing w:val="-1"/>
        </w:rPr>
        <w:t xml:space="preserve"> </w:t>
      </w:r>
      <w:r w:rsidRPr="008159D0">
        <w:t>the</w:t>
      </w:r>
      <w:r w:rsidRPr="008159D0">
        <w:rPr>
          <w:spacing w:val="-1"/>
        </w:rPr>
        <w:t xml:space="preserve"> </w:t>
      </w:r>
      <w:r w:rsidRPr="008159D0">
        <w:t>frequency</w:t>
      </w:r>
      <w:r w:rsidRPr="008159D0">
        <w:rPr>
          <w:spacing w:val="-6"/>
        </w:rPr>
        <w:t xml:space="preserve"> </w:t>
      </w:r>
      <w:r w:rsidRPr="008159D0">
        <w:t>band 51.4-52.4</w:t>
      </w:r>
      <w:r w:rsidRPr="008159D0">
        <w:rPr>
          <w:spacing w:val="-1"/>
        </w:rPr>
        <w:t> </w:t>
      </w:r>
      <w:r w:rsidRPr="008159D0">
        <w:t>GHz, Resolution</w:t>
      </w:r>
      <w:r w:rsidRPr="008159D0">
        <w:rPr>
          <w:spacing w:val="-1"/>
        </w:rPr>
        <w:t> </w:t>
      </w:r>
      <w:r w:rsidRPr="008159D0">
        <w:rPr>
          <w:b/>
          <w:bCs/>
        </w:rPr>
        <w:t>750</w:t>
      </w:r>
      <w:r w:rsidRPr="008159D0">
        <w:rPr>
          <w:b/>
          <w:bCs/>
          <w:spacing w:val="-1"/>
        </w:rPr>
        <w:t xml:space="preserve"> </w:t>
      </w:r>
      <w:r w:rsidRPr="008159D0">
        <w:rPr>
          <w:b/>
          <w:bCs/>
        </w:rPr>
        <w:t>(Rev.WRC-19)</w:t>
      </w:r>
      <w:r w:rsidRPr="008159D0">
        <w:rPr>
          <w:b/>
          <w:bCs/>
          <w:spacing w:val="-5"/>
        </w:rPr>
        <w:t xml:space="preserve"> </w:t>
      </w:r>
      <w:r w:rsidRPr="008159D0">
        <w:t>applies as</w:t>
      </w:r>
      <w:r w:rsidRPr="008159D0">
        <w:rPr>
          <w:spacing w:val="-57"/>
        </w:rPr>
        <w:t xml:space="preserve"> </w:t>
      </w:r>
      <w:r w:rsidRPr="008159D0">
        <w:t>indicated</w:t>
      </w:r>
      <w:r w:rsidRPr="008159D0">
        <w:rPr>
          <w:spacing w:val="-1"/>
        </w:rPr>
        <w:t xml:space="preserve"> </w:t>
      </w:r>
      <w:r w:rsidRPr="008159D0">
        <w:t>in No. </w:t>
      </w:r>
      <w:r w:rsidRPr="008159D0">
        <w:rPr>
          <w:rStyle w:val="Artref"/>
          <w:b/>
          <w:bCs/>
        </w:rPr>
        <w:t>5.338A</w:t>
      </w:r>
      <w:r w:rsidRPr="008159D0">
        <w:t>;</w:t>
      </w:r>
    </w:p>
    <w:p w14:paraId="0177ABF5" w14:textId="77777777" w:rsidR="00C85FB8" w:rsidRPr="008159D0" w:rsidRDefault="00C85FB8" w:rsidP="00C85FB8">
      <w:r w:rsidRPr="008159D0">
        <w:rPr>
          <w:i/>
          <w:iCs/>
        </w:rPr>
        <w:t>i)</w:t>
      </w:r>
      <w:r w:rsidRPr="008159D0">
        <w:rPr>
          <w:i/>
          <w:iCs/>
        </w:rPr>
        <w:tab/>
      </w:r>
      <w:r w:rsidRPr="008159D0">
        <w:t>that the frequency band 50.2-50.4 GHz is also allocated to the EESS (passive) with the applicable non-GSO FSS unwanted emission limits provided in Resolution </w:t>
      </w:r>
      <w:r w:rsidRPr="008159D0">
        <w:rPr>
          <w:rStyle w:val="Artref"/>
          <w:b/>
          <w:bCs/>
        </w:rPr>
        <w:t>750 (Rev.WRC</w:t>
      </w:r>
      <w:r w:rsidRPr="008159D0">
        <w:rPr>
          <w:rStyle w:val="Artref"/>
          <w:b/>
          <w:bCs/>
        </w:rPr>
        <w:noBreakHyphen/>
        <w:t>19</w:t>
      </w:r>
      <w:proofErr w:type="gramStart"/>
      <w:r w:rsidRPr="008159D0">
        <w:rPr>
          <w:rStyle w:val="Artref"/>
          <w:b/>
          <w:bCs/>
        </w:rPr>
        <w:t>)</w:t>
      </w:r>
      <w:r w:rsidRPr="008159D0">
        <w:t>;</w:t>
      </w:r>
      <w:proofErr w:type="gramEnd"/>
    </w:p>
    <w:p w14:paraId="3B0FB66A" w14:textId="77777777" w:rsidR="001C00A3" w:rsidRPr="008159D0" w:rsidRDefault="00000000" w:rsidP="007B3221">
      <w:pPr>
        <w:pStyle w:val="ListParagraph"/>
        <w:tabs>
          <w:tab w:val="clear" w:pos="1871"/>
        </w:tabs>
        <w:ind w:left="4"/>
      </w:pPr>
      <w:r w:rsidRPr="008159D0">
        <w:rPr>
          <w:i/>
          <w:iCs/>
        </w:rPr>
        <w:t>j)</w:t>
      </w:r>
      <w:r w:rsidRPr="008159D0">
        <w:tab/>
        <w:t>that the frequency band 52.6-54.25 GHz is allocated to the EESS (passive), which needs to be protected, as indicated in No. </w:t>
      </w:r>
      <w:r w:rsidRPr="008159D0">
        <w:rPr>
          <w:rStyle w:val="Artref"/>
          <w:b/>
          <w:bCs/>
        </w:rPr>
        <w:t>5.340</w:t>
      </w:r>
      <w:r w:rsidRPr="008159D0">
        <w:t>, through revision of Resolution </w:t>
      </w:r>
      <w:r w:rsidRPr="008159D0">
        <w:rPr>
          <w:rStyle w:val="Artref"/>
          <w:b/>
          <w:bCs/>
        </w:rPr>
        <w:t>750 (Rev.WRC</w:t>
      </w:r>
      <w:r w:rsidRPr="008159D0">
        <w:rPr>
          <w:rStyle w:val="Artref"/>
          <w:b/>
          <w:bCs/>
        </w:rPr>
        <w:noBreakHyphen/>
        <w:t>19)</w:t>
      </w:r>
      <w:r w:rsidRPr="008159D0">
        <w:rPr>
          <w:rStyle w:val="Artref"/>
        </w:rPr>
        <w:t>,</w:t>
      </w:r>
      <w:r w:rsidRPr="008159D0">
        <w:rPr>
          <w:rStyle w:val="Artref"/>
          <w:b/>
          <w:bCs/>
        </w:rPr>
        <w:t xml:space="preserve"> </w:t>
      </w:r>
      <w:r w:rsidRPr="008159D0">
        <w:rPr>
          <w:rStyle w:val="Artref"/>
        </w:rPr>
        <w:t>with a view</w:t>
      </w:r>
      <w:r w:rsidRPr="008159D0">
        <w:rPr>
          <w:rStyle w:val="Artref"/>
          <w:b/>
          <w:bCs/>
        </w:rPr>
        <w:t xml:space="preserve"> </w:t>
      </w:r>
      <w:r w:rsidRPr="008159D0">
        <w:t xml:space="preserve">to including the non-GSO FSS unwanted emission limit for the frequency band 52.6-54.25 GHz together with possible modification of the GSO FSS unwanted emission limit for the frequency band 52.6-54.25 GHz, subject to the result of the studies, taking into account the aggregation of interference into EESS (passive); </w:t>
      </w:r>
    </w:p>
    <w:p w14:paraId="64D5D28D" w14:textId="77777777" w:rsidR="001C00A3" w:rsidRPr="008159D0" w:rsidRDefault="00000000" w:rsidP="007B3221">
      <w:r w:rsidRPr="008159D0">
        <w:rPr>
          <w:i/>
          <w:iCs/>
        </w:rPr>
        <w:t>k)</w:t>
      </w:r>
      <w:r w:rsidRPr="008159D0">
        <w:tab/>
        <w:t>that the existing limits for GSO FSS networks to protect EESS (passive) operating in the frequency band 52.6-54.25 GHz established in Resolution </w:t>
      </w:r>
      <w:r w:rsidRPr="008159D0">
        <w:rPr>
          <w:b/>
          <w:bCs/>
        </w:rPr>
        <w:t>750 (Rev.WRC</w:t>
      </w:r>
      <w:r w:rsidRPr="008159D0">
        <w:rPr>
          <w:b/>
          <w:bCs/>
        </w:rPr>
        <w:noBreakHyphen/>
        <w:t>19)</w:t>
      </w:r>
      <w:r w:rsidRPr="008159D0">
        <w:t xml:space="preserve"> continue to apply for those GSO FSS networks that were notified/brought into use before a date to be defined at WRC</w:t>
      </w:r>
      <w:r w:rsidRPr="008159D0">
        <w:noBreakHyphen/>
        <w:t>27;</w:t>
      </w:r>
    </w:p>
    <w:p w14:paraId="6BE4E4F0" w14:textId="7ACC7B1A" w:rsidR="00723BC6" w:rsidRPr="008159D0" w:rsidRDefault="00723BC6" w:rsidP="00723BC6">
      <w:r w:rsidRPr="008159D0">
        <w:rPr>
          <w:i/>
          <w:iCs/>
        </w:rPr>
        <w:t>l)</w:t>
      </w:r>
      <w:r w:rsidRPr="008159D0">
        <w:tab/>
        <w:t>that Report ITU</w:t>
      </w:r>
      <w:r w:rsidRPr="008159D0">
        <w:noBreakHyphen/>
        <w:t>R S.2462 contains studies on sharing and compatibility between GSO FSS networks and non-GSO FSS systems in the frequency bands 37.5-42.5 GHz, 47.2-50.2 GHz</w:t>
      </w:r>
      <w:r w:rsidRPr="00EB7D57">
        <w:t xml:space="preserve"> and</w:t>
      </w:r>
      <w:r w:rsidRPr="008159D0">
        <w:t xml:space="preserve"> 50.4-51.4 </w:t>
      </w:r>
      <w:proofErr w:type="gramStart"/>
      <w:r w:rsidRPr="008159D0">
        <w:t>GHz;</w:t>
      </w:r>
      <w:proofErr w:type="gramEnd"/>
    </w:p>
    <w:p w14:paraId="3CBCAD20" w14:textId="77777777" w:rsidR="001C00A3" w:rsidRPr="008159D0" w:rsidRDefault="00000000" w:rsidP="007B3221">
      <w:r w:rsidRPr="008159D0">
        <w:rPr>
          <w:i/>
          <w:iCs/>
        </w:rPr>
        <w:t>m)</w:t>
      </w:r>
      <w:r w:rsidRPr="008159D0">
        <w:tab/>
        <w:t>that, although the studies prior to WRC</w:t>
      </w:r>
      <w:r w:rsidRPr="008159D0">
        <w:noBreakHyphen/>
        <w:t>19 were conducted only for GSO FSS earth stations, as noted in Report ITU</w:t>
      </w:r>
      <w:r w:rsidRPr="008159D0">
        <w:noBreakHyphen/>
        <w:t>R S.2463, spectrum needs for both GSO and non-GSO FSS earth stations in the frequency band 51.4-52.4 GHz were ultimately identified, as indicated</w:t>
      </w:r>
      <w:r w:rsidRPr="008159D0">
        <w:rPr>
          <w:u w:val="words"/>
        </w:rPr>
        <w:t xml:space="preserve"> </w:t>
      </w:r>
      <w:r w:rsidRPr="008159D0">
        <w:t xml:space="preserve">in </w:t>
      </w:r>
      <w:r w:rsidRPr="008159D0">
        <w:rPr>
          <w:i/>
          <w:iCs/>
        </w:rPr>
        <w:t>recognizing f</w:t>
      </w:r>
      <w:proofErr w:type="gramStart"/>
      <w:r w:rsidRPr="008159D0">
        <w:rPr>
          <w:i/>
          <w:iCs/>
        </w:rPr>
        <w:t>)</w:t>
      </w:r>
      <w:r w:rsidRPr="008159D0">
        <w:t>;</w:t>
      </w:r>
      <w:proofErr w:type="gramEnd"/>
    </w:p>
    <w:p w14:paraId="2D4A7254" w14:textId="77777777" w:rsidR="001C00A3" w:rsidRPr="008159D0" w:rsidRDefault="00000000" w:rsidP="007B3221">
      <w:r w:rsidRPr="008159D0">
        <w:rPr>
          <w:i/>
          <w:iCs/>
        </w:rPr>
        <w:t>n)</w:t>
      </w:r>
      <w:r w:rsidRPr="008159D0">
        <w:tab/>
        <w:t>that the need for additional uplink spectrum in the 50</w:t>
      </w:r>
      <w:r w:rsidRPr="008159D0">
        <w:rPr>
          <w:spacing w:val="-1"/>
        </w:rPr>
        <w:t> </w:t>
      </w:r>
      <w:r w:rsidRPr="008159D0">
        <w:t>GHz</w:t>
      </w:r>
      <w:r w:rsidRPr="008159D0">
        <w:rPr>
          <w:spacing w:val="1"/>
        </w:rPr>
        <w:t xml:space="preserve"> </w:t>
      </w:r>
      <w:r w:rsidRPr="008159D0">
        <w:t xml:space="preserve">frequency range for non-GSO FSS gateway </w:t>
      </w:r>
      <w:r w:rsidRPr="008159D0">
        <w:rPr>
          <w:lang w:eastAsia="zh-CN"/>
        </w:rPr>
        <w:t xml:space="preserve">earth station </w:t>
      </w:r>
      <w:r w:rsidRPr="008159D0">
        <w:t xml:space="preserve">use continues, </w:t>
      </w:r>
    </w:p>
    <w:p w14:paraId="1C10C1DB" w14:textId="77777777" w:rsidR="001C00A3" w:rsidRPr="008159D0" w:rsidRDefault="00000000" w:rsidP="007B3221">
      <w:pPr>
        <w:pStyle w:val="Call"/>
      </w:pPr>
      <w:r w:rsidRPr="008159D0">
        <w:t>resolves to invite the ITU Radiocommunication Sector to complete in time for the 2027 world radiocommunication conference</w:t>
      </w:r>
    </w:p>
    <w:p w14:paraId="7D0DA3E9" w14:textId="4DBDEBED" w:rsidR="000976B0" w:rsidRDefault="00B21381" w:rsidP="00B21381">
      <w:pPr>
        <w:spacing w:beforeLines="50"/>
        <w:rPr>
          <w:lang w:eastAsia="zh-CN"/>
        </w:rPr>
      </w:pPr>
      <w:r w:rsidRPr="008159D0">
        <w:rPr>
          <w:lang w:eastAsia="zh-CN"/>
        </w:rPr>
        <w:t>1</w:t>
      </w:r>
      <w:r w:rsidRPr="008159D0">
        <w:rPr>
          <w:lang w:eastAsia="zh-CN"/>
        </w:rPr>
        <w:tab/>
        <w:t xml:space="preserve">sharing and compatibility studies with existing services, including in adjacent bands, including protection of the fixed and mobile services, and studies relating to the suitability of revising conditions associated </w:t>
      </w:r>
      <w:r w:rsidRPr="005E1A2B">
        <w:rPr>
          <w:lang w:eastAsia="zh-CN"/>
        </w:rPr>
        <w:t>with</w:t>
      </w:r>
      <w:r w:rsidRPr="008159D0">
        <w:rPr>
          <w:lang w:eastAsia="zh-CN"/>
        </w:rPr>
        <w:t xml:space="preserve"> the primary allocation to the FSS in the frequency band 51.4-52.4 GHz (Earth-to-space) to enable its use by gateway earth stations of non-GSO FSS systems (Earth-to-space), and the relevant regulatory </w:t>
      </w:r>
      <w:proofErr w:type="gramStart"/>
      <w:r w:rsidRPr="008159D0">
        <w:rPr>
          <w:lang w:eastAsia="zh-CN"/>
        </w:rPr>
        <w:t>studies;</w:t>
      </w:r>
      <w:proofErr w:type="gramEnd"/>
    </w:p>
    <w:p w14:paraId="0A10B898" w14:textId="77777777" w:rsidR="000976B0" w:rsidRDefault="000976B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F5622C0" w14:textId="77777777" w:rsidR="00B21381" w:rsidRPr="008159D0" w:rsidRDefault="00B21381" w:rsidP="00B21381">
      <w:r w:rsidRPr="008159D0">
        <w:lastRenderedPageBreak/>
        <w:t>2</w:t>
      </w:r>
      <w:r w:rsidRPr="008159D0">
        <w:tab/>
        <w:t>compatibility studies between non-GSO FSS gateway operation in the frequency band 51.4-52.4 GHz and the existing primary passive services operating in the frequency band 52.6-54.25 GHz in order to review and revise Resolution </w:t>
      </w:r>
      <w:r w:rsidRPr="008159D0">
        <w:rPr>
          <w:b/>
          <w:bCs/>
        </w:rPr>
        <w:t>750 (Rev.WRC</w:t>
      </w:r>
      <w:r w:rsidRPr="008159D0">
        <w:rPr>
          <w:b/>
          <w:bCs/>
        </w:rPr>
        <w:noBreakHyphen/>
        <w:t>19)</w:t>
      </w:r>
      <w:r w:rsidRPr="008159D0">
        <w:t xml:space="preserve"> to protect the EESS (passive), considering the aggregated interference from GSO gateway earth stations and non-GSO FSS gateway earth stations and taking into account that the existing limits for GSO FSS networks to protect the EESS (passive) operating in the frequency band 52.6-54.25 GHz established in Resolution </w:t>
      </w:r>
      <w:r w:rsidRPr="008159D0">
        <w:rPr>
          <w:b/>
          <w:bCs/>
        </w:rPr>
        <w:t>750 (Rev.WRC</w:t>
      </w:r>
      <w:r w:rsidRPr="008159D0">
        <w:rPr>
          <w:b/>
          <w:bCs/>
        </w:rPr>
        <w:noBreakHyphen/>
        <w:t>19)</w:t>
      </w:r>
      <w:r w:rsidRPr="008159D0">
        <w:t xml:space="preserve"> continue to apply for those GSO FSS networks that were notified/brought into use before a date to be defined at WRC</w:t>
      </w:r>
      <w:r w:rsidRPr="008159D0">
        <w:noBreakHyphen/>
        <w:t>27;</w:t>
      </w:r>
    </w:p>
    <w:p w14:paraId="767FD206" w14:textId="55BA7FDC" w:rsidR="00B21381" w:rsidRPr="008159D0" w:rsidRDefault="00B21381" w:rsidP="00B21381">
      <w:r w:rsidRPr="008159D0">
        <w:t>3</w:t>
      </w:r>
      <w:r w:rsidRPr="008159D0">
        <w:tab/>
        <w:t>studies on sharing and compatibility between non-GSO FSS gateway operation in the frequency band 51.4-52.4 GHz and the radio astronomy observations carried out in the frequency band 51.4-54.25 GHz in conformity with No. </w:t>
      </w:r>
      <w:r w:rsidRPr="008159D0">
        <w:rPr>
          <w:rStyle w:val="Artref"/>
          <w:b/>
          <w:bCs/>
        </w:rPr>
        <w:t>5.556</w:t>
      </w:r>
      <w:r w:rsidRPr="008159D0">
        <w:t xml:space="preserve">, in order to determine the conditions to ensure the protection of these </w:t>
      </w:r>
      <w:proofErr w:type="gramStart"/>
      <w:r w:rsidRPr="008159D0">
        <w:t>observations;</w:t>
      </w:r>
      <w:proofErr w:type="gramEnd"/>
    </w:p>
    <w:p w14:paraId="20A92BD0" w14:textId="77777777" w:rsidR="00B21381" w:rsidRPr="008159D0" w:rsidRDefault="00B21381" w:rsidP="00B21381">
      <w:pPr>
        <w:rPr>
          <w:szCs w:val="24"/>
        </w:rPr>
      </w:pPr>
      <w:r w:rsidRPr="008159D0">
        <w:rPr>
          <w:szCs w:val="24"/>
        </w:rPr>
        <w:t>4</w:t>
      </w:r>
      <w:r w:rsidRPr="008159D0">
        <w:rPr>
          <w:szCs w:val="24"/>
        </w:rPr>
        <w:tab/>
        <w:t xml:space="preserve">studies regarding the protection of GSO FSS space stations from the emissions of non-GSO FSS gateway earth stations, </w:t>
      </w:r>
      <w:r w:rsidRPr="008159D0">
        <w:rPr>
          <w:lang w:eastAsia="zh-CN"/>
        </w:rPr>
        <w:t>including possible associated regulatory actions and possible inclusion of the frequency band 51.4-52.4 GHz in the scope of Resolutions </w:t>
      </w:r>
      <w:r w:rsidRPr="008159D0">
        <w:rPr>
          <w:b/>
          <w:bCs/>
          <w:lang w:eastAsia="zh-CN"/>
        </w:rPr>
        <w:t>769 (WRC</w:t>
      </w:r>
      <w:r w:rsidRPr="008159D0">
        <w:rPr>
          <w:b/>
          <w:bCs/>
          <w:lang w:eastAsia="zh-CN"/>
        </w:rPr>
        <w:noBreakHyphen/>
        <w:t>19)</w:t>
      </w:r>
      <w:r w:rsidRPr="008159D0">
        <w:rPr>
          <w:lang w:eastAsia="zh-CN"/>
        </w:rPr>
        <w:t xml:space="preserve"> and </w:t>
      </w:r>
      <w:r w:rsidRPr="008159D0">
        <w:rPr>
          <w:b/>
          <w:bCs/>
          <w:lang w:eastAsia="zh-CN"/>
        </w:rPr>
        <w:t>770 (Rev.WRC</w:t>
      </w:r>
      <w:r w:rsidRPr="008159D0">
        <w:rPr>
          <w:b/>
          <w:bCs/>
          <w:lang w:eastAsia="zh-CN"/>
        </w:rPr>
        <w:noBreakHyphen/>
        <w:t>23)</w:t>
      </w:r>
      <w:r w:rsidRPr="008159D0">
        <w:rPr>
          <w:lang w:eastAsia="zh-CN"/>
        </w:rPr>
        <w:t>,</w:t>
      </w:r>
    </w:p>
    <w:p w14:paraId="438B78D8" w14:textId="77777777" w:rsidR="001C00A3" w:rsidRPr="008159D0" w:rsidRDefault="00000000" w:rsidP="007B3221">
      <w:pPr>
        <w:pStyle w:val="Call"/>
      </w:pPr>
      <w:r w:rsidRPr="008159D0">
        <w:t>invites</w:t>
      </w:r>
      <w:r w:rsidRPr="008159D0">
        <w:rPr>
          <w:spacing w:val="-2"/>
        </w:rPr>
        <w:t xml:space="preserve"> </w:t>
      </w:r>
      <w:r w:rsidRPr="008159D0">
        <w:t>administrations</w:t>
      </w:r>
    </w:p>
    <w:p w14:paraId="58A7D8A0" w14:textId="77777777" w:rsidR="001C00A3" w:rsidRPr="008159D0" w:rsidRDefault="00000000" w:rsidP="007B3221">
      <w:r w:rsidRPr="008159D0">
        <w:t xml:space="preserve">to participate actively in the studies and provide the information required for the studies listed under </w:t>
      </w:r>
      <w:r w:rsidRPr="008159D0">
        <w:rPr>
          <w:i/>
          <w:iCs/>
        </w:rPr>
        <w:t xml:space="preserve">resolves to invite the ITU Radiocommunication Sector to complete in time for the 2027 world radiocommunication conference </w:t>
      </w:r>
      <w:r w:rsidRPr="008159D0">
        <w:t>by submitting contributions to the ITU Radiocommunication Sector (ITU</w:t>
      </w:r>
      <w:r w:rsidRPr="008159D0">
        <w:noBreakHyphen/>
        <w:t>R),</w:t>
      </w:r>
    </w:p>
    <w:p w14:paraId="3A2E4A04" w14:textId="77777777" w:rsidR="001C00A3" w:rsidRPr="008159D0" w:rsidRDefault="00000000" w:rsidP="007B3221">
      <w:pPr>
        <w:pStyle w:val="Call"/>
      </w:pPr>
      <w:r w:rsidRPr="008159D0">
        <w:t>invites the 2027 world radiocommunication conference</w:t>
      </w:r>
    </w:p>
    <w:p w14:paraId="7F65CBA6" w14:textId="0C5D3561" w:rsidR="00FC4EDB" w:rsidRPr="008159D0" w:rsidRDefault="00047112">
      <w:r w:rsidRPr="008159D0">
        <w:t>to consider, based on the results of the ITU</w:t>
      </w:r>
      <w:r w:rsidRPr="008159D0">
        <w:noBreakHyphen/>
        <w:t>R studies, the possible revision of the conditions related to allocations to the FSS in the frequency band 51.4-52.4 GHz to enable its use by non-GSO FSS gateway earth stations on a primary basis and any other related regulatory provisions.</w:t>
      </w:r>
    </w:p>
    <w:p w14:paraId="7F428A26" w14:textId="77777777" w:rsidR="00FC4EDB" w:rsidRDefault="00FC4EDB">
      <w:pPr>
        <w:pStyle w:val="Reasons"/>
      </w:pPr>
    </w:p>
    <w:p w14:paraId="2CCF9DB8" w14:textId="33E26799" w:rsidR="00C4094C" w:rsidRDefault="00C4094C" w:rsidP="00C4094C">
      <w:r>
        <w:br w:type="page"/>
      </w:r>
    </w:p>
    <w:p w14:paraId="36BAD4E8" w14:textId="77777777" w:rsidR="00FC4EDB" w:rsidRPr="008159D0" w:rsidRDefault="00000000">
      <w:pPr>
        <w:pStyle w:val="Proposal"/>
      </w:pPr>
      <w:r w:rsidRPr="008159D0">
        <w:lastRenderedPageBreak/>
        <w:t>ADD</w:t>
      </w:r>
      <w:r w:rsidRPr="008159D0">
        <w:tab/>
        <w:t>B40/474/2</w:t>
      </w:r>
      <w:r w:rsidRPr="008159D0">
        <w:rPr>
          <w:vanish/>
          <w:color w:val="7F7F7F" w:themeColor="text1" w:themeTint="80"/>
          <w:vertAlign w:val="superscript"/>
        </w:rPr>
        <w:t>#10530</w:t>
      </w:r>
    </w:p>
    <w:p w14:paraId="3886A0EC" w14:textId="24C9ABB2" w:rsidR="001C00A3" w:rsidRPr="008159D0" w:rsidRDefault="00000000" w:rsidP="00CF3CE9">
      <w:pPr>
        <w:pStyle w:val="ResNo"/>
      </w:pPr>
      <w:r w:rsidRPr="008159D0">
        <w:t>Resolution COM6/</w:t>
      </w:r>
      <w:r w:rsidR="00BC515D">
        <w:t>4</w:t>
      </w:r>
      <w:r w:rsidRPr="008159D0">
        <w:t xml:space="preserve"> (WRC</w:t>
      </w:r>
      <w:r w:rsidRPr="008159D0">
        <w:noBreakHyphen/>
        <w:t>23)</w:t>
      </w:r>
    </w:p>
    <w:p w14:paraId="1FD85301" w14:textId="77777777" w:rsidR="001C00A3" w:rsidRPr="008159D0" w:rsidRDefault="00000000" w:rsidP="00111B8C">
      <w:pPr>
        <w:pStyle w:val="Restitle"/>
        <w:rPr>
          <w:rStyle w:val="ui-provider"/>
          <w:rFonts w:ascii="Times New Roman" w:hAnsi="Times New Roman"/>
          <w:sz w:val="24"/>
          <w:szCs w:val="24"/>
        </w:rPr>
      </w:pPr>
      <w:r w:rsidRPr="008159D0">
        <w:t xml:space="preserve">Studies on frequency-related matters, including possible new or modified space research service </w:t>
      </w:r>
      <w:r w:rsidRPr="008159D0">
        <w:rPr>
          <w:bCs/>
        </w:rPr>
        <w:t xml:space="preserve">(space-to-space) </w:t>
      </w:r>
      <w:r w:rsidRPr="008159D0">
        <w:t xml:space="preserve">allocations, for future development of communications on the lunar surface and between </w:t>
      </w:r>
      <w:r w:rsidRPr="008159D0">
        <w:rPr>
          <w:rStyle w:val="ui-provider"/>
          <w:rFonts w:ascii="Times New Roman" w:hAnsi="Times New Roman"/>
          <w:szCs w:val="28"/>
        </w:rPr>
        <w:t>lunar orbit and the lunar surface</w:t>
      </w:r>
    </w:p>
    <w:p w14:paraId="48F51BF6" w14:textId="77777777" w:rsidR="001C00A3" w:rsidRPr="008159D0" w:rsidRDefault="00000000" w:rsidP="00CF3CE9">
      <w:pPr>
        <w:pStyle w:val="Normalaftertitle"/>
        <w:rPr>
          <w:szCs w:val="24"/>
        </w:rPr>
      </w:pPr>
      <w:r w:rsidRPr="008159D0">
        <w:rPr>
          <w:szCs w:val="24"/>
        </w:rPr>
        <w:t>The World Radiocommunication Conference (Dubai, 2023),</w:t>
      </w:r>
    </w:p>
    <w:p w14:paraId="7E3E9AF5" w14:textId="77777777" w:rsidR="001C00A3" w:rsidRPr="008159D0" w:rsidRDefault="00000000" w:rsidP="006E78A3">
      <w:pPr>
        <w:pStyle w:val="Call"/>
      </w:pPr>
      <w:r w:rsidRPr="008159D0">
        <w:t>considering</w:t>
      </w:r>
    </w:p>
    <w:p w14:paraId="30212979" w14:textId="52FF729E" w:rsidR="00B37E28" w:rsidRPr="008159D0" w:rsidRDefault="00B37E28" w:rsidP="00B37E28">
      <w:r w:rsidRPr="008159D0">
        <w:rPr>
          <w:i/>
          <w:iCs/>
        </w:rPr>
        <w:t>a)</w:t>
      </w:r>
      <w:r w:rsidRPr="008159D0">
        <w:tab/>
        <w:t xml:space="preserve">that there is increased interest </w:t>
      </w:r>
      <w:r w:rsidRPr="00864FE5">
        <w:t>in</w:t>
      </w:r>
      <w:r w:rsidRPr="008159D0">
        <w:t xml:space="preserve"> conducting scientific discovery and space exploration activities in lunar orbit and on the lunar </w:t>
      </w:r>
      <w:proofErr w:type="gramStart"/>
      <w:r w:rsidRPr="008159D0">
        <w:t>surface;</w:t>
      </w:r>
      <w:proofErr w:type="gramEnd"/>
    </w:p>
    <w:p w14:paraId="1ABCA147" w14:textId="77777777" w:rsidR="001C00A3" w:rsidRPr="008159D0" w:rsidRDefault="00000000" w:rsidP="006E78A3">
      <w:r w:rsidRPr="008159D0">
        <w:rPr>
          <w:i/>
          <w:iCs/>
        </w:rPr>
        <w:t>b)</w:t>
      </w:r>
      <w:r w:rsidRPr="008159D0">
        <w:tab/>
        <w:t xml:space="preserve">that wireless communication technology is well-developed and widely deployed on the Earth and could be applied to lunar </w:t>
      </w:r>
      <w:proofErr w:type="gramStart"/>
      <w:r w:rsidRPr="008159D0">
        <w:t>communications;</w:t>
      </w:r>
      <w:proofErr w:type="gramEnd"/>
      <w:r w:rsidRPr="008159D0">
        <w:t xml:space="preserve"> </w:t>
      </w:r>
    </w:p>
    <w:p w14:paraId="5183EAAC" w14:textId="77777777" w:rsidR="001C00A3" w:rsidRPr="008159D0" w:rsidRDefault="00000000" w:rsidP="006E78A3">
      <w:r w:rsidRPr="008159D0">
        <w:rPr>
          <w:i/>
        </w:rPr>
        <w:t>c)</w:t>
      </w:r>
      <w:r w:rsidRPr="008159D0">
        <w:tab/>
        <w:t>that point-to-multipoint systems on the lunar surface used for scientific or technological research purposes could operate in the space research service (SRS) (space-to-space) currently;</w:t>
      </w:r>
    </w:p>
    <w:p w14:paraId="64FEC3B5" w14:textId="2CDD00D3" w:rsidR="00AE7BF2" w:rsidRPr="008159D0" w:rsidRDefault="00AE7BF2" w:rsidP="00AE7BF2">
      <w:r w:rsidRPr="008159D0">
        <w:rPr>
          <w:i/>
          <w:iCs/>
        </w:rPr>
        <w:t>d)</w:t>
      </w:r>
      <w:r w:rsidRPr="008159D0">
        <w:tab/>
        <w:t xml:space="preserve">that lunar missions may require signals for accurate Positioning, Navigation and Timing (PNT) in the lunar region originating from Moon-orbiting </w:t>
      </w:r>
      <w:proofErr w:type="gramStart"/>
      <w:r w:rsidRPr="008159D0">
        <w:t>satellites;</w:t>
      </w:r>
      <w:proofErr w:type="gramEnd"/>
    </w:p>
    <w:p w14:paraId="1CA6EDE4" w14:textId="357567EF" w:rsidR="00AE7BF2" w:rsidRPr="008159D0" w:rsidRDefault="00AE7BF2" w:rsidP="00AE7BF2">
      <w:r w:rsidRPr="008159D0">
        <w:rPr>
          <w:i/>
          <w:iCs/>
        </w:rPr>
        <w:t>e)</w:t>
      </w:r>
      <w:r w:rsidRPr="008159D0">
        <w:tab/>
        <w:t xml:space="preserve">that the lunar environment has unique atmospheric, soil and topographic </w:t>
      </w:r>
      <w:proofErr w:type="gramStart"/>
      <w:r w:rsidRPr="008159D0">
        <w:t>conditions;</w:t>
      </w:r>
      <w:proofErr w:type="gramEnd"/>
    </w:p>
    <w:p w14:paraId="7696F592" w14:textId="77777777" w:rsidR="001C00A3" w:rsidRPr="008159D0" w:rsidRDefault="00000000" w:rsidP="006E78A3">
      <w:r w:rsidRPr="008159D0">
        <w:rPr>
          <w:i/>
          <w:iCs/>
        </w:rPr>
        <w:t>f)</w:t>
      </w:r>
      <w:r w:rsidRPr="008159D0">
        <w:tab/>
        <w:t xml:space="preserve">that the shielded zone of the Moon (SZM) and the absence of appreciable water vapour and oxygen in the lunar atmosphere allow for radioastronomical observations which are not possible on </w:t>
      </w:r>
      <w:proofErr w:type="gramStart"/>
      <w:r w:rsidRPr="008159D0">
        <w:t>Earth;</w:t>
      </w:r>
      <w:proofErr w:type="gramEnd"/>
    </w:p>
    <w:p w14:paraId="1857E95D" w14:textId="77777777" w:rsidR="001C00A3" w:rsidRPr="008159D0" w:rsidRDefault="00000000" w:rsidP="006E78A3">
      <w:r w:rsidRPr="008159D0">
        <w:rPr>
          <w:i/>
          <w:iCs/>
        </w:rPr>
        <w:t>g)</w:t>
      </w:r>
      <w:r w:rsidRPr="008159D0">
        <w:tab/>
        <w:t>that the interests of scientific discovery and space exploration are of a global nature;</w:t>
      </w:r>
    </w:p>
    <w:p w14:paraId="7FA04A0E" w14:textId="43BF9936" w:rsidR="001C00A3" w:rsidRPr="008159D0" w:rsidRDefault="007B5DD6" w:rsidP="006E78A3">
      <w:r w:rsidRPr="008159D0">
        <w:rPr>
          <w:i/>
          <w:iCs/>
        </w:rPr>
        <w:t>h)</w:t>
      </w:r>
      <w:r w:rsidRPr="008159D0">
        <w:rPr>
          <w:i/>
          <w:iCs/>
        </w:rPr>
        <w:tab/>
      </w:r>
      <w:r w:rsidRPr="008159D0">
        <w:t>that lunar scientific and exploration activities can advance the development of potential future space activities beyond space research, which may in the future include other relevant radiocommunication services for lunar communications,</w:t>
      </w:r>
    </w:p>
    <w:p w14:paraId="434600E8" w14:textId="77777777" w:rsidR="001C00A3" w:rsidRPr="008159D0" w:rsidRDefault="00000000" w:rsidP="001F56CE">
      <w:pPr>
        <w:pStyle w:val="Call"/>
      </w:pPr>
      <w:r w:rsidRPr="008159D0">
        <w:t>noting</w:t>
      </w:r>
    </w:p>
    <w:p w14:paraId="6F9DAE01" w14:textId="77777777" w:rsidR="001C00A3" w:rsidRPr="008159D0" w:rsidRDefault="00000000" w:rsidP="00CF3CE9">
      <w:pPr>
        <w:rPr>
          <w:i/>
          <w:iCs/>
          <w:szCs w:val="24"/>
        </w:rPr>
      </w:pPr>
      <w:r w:rsidRPr="008159D0">
        <w:rPr>
          <w:i/>
          <w:iCs/>
          <w:szCs w:val="24"/>
        </w:rPr>
        <w:t>a)</w:t>
      </w:r>
      <w:r w:rsidRPr="008159D0">
        <w:rPr>
          <w:szCs w:val="24"/>
        </w:rPr>
        <w:tab/>
        <w:t>that Section V of Article </w:t>
      </w:r>
      <w:r w:rsidRPr="008159D0">
        <w:rPr>
          <w:rStyle w:val="Artref"/>
          <w:b/>
          <w:bCs/>
        </w:rPr>
        <w:t>22</w:t>
      </w:r>
      <w:r w:rsidRPr="008159D0">
        <w:rPr>
          <w:szCs w:val="24"/>
        </w:rPr>
        <w:t xml:space="preserve"> addresses protection of radio astronomy in the </w:t>
      </w:r>
      <w:r w:rsidRPr="008159D0">
        <w:t>SZM</w:t>
      </w:r>
      <w:r w:rsidRPr="008159D0">
        <w:rPr>
          <w:szCs w:val="24"/>
        </w:rPr>
        <w:t>;</w:t>
      </w:r>
      <w:r w:rsidRPr="008159D0">
        <w:rPr>
          <w:i/>
          <w:iCs/>
          <w:szCs w:val="24"/>
        </w:rPr>
        <w:t xml:space="preserve"> </w:t>
      </w:r>
    </w:p>
    <w:p w14:paraId="52CCB5FA" w14:textId="546659E9" w:rsidR="00456895" w:rsidRDefault="00DB04F3" w:rsidP="00DB04F3">
      <w:pPr>
        <w:rPr>
          <w:szCs w:val="24"/>
        </w:rPr>
      </w:pPr>
      <w:r w:rsidRPr="008159D0">
        <w:rPr>
          <w:i/>
          <w:szCs w:val="24"/>
        </w:rPr>
        <w:t>b)</w:t>
      </w:r>
      <w:r w:rsidRPr="008159D0">
        <w:rPr>
          <w:szCs w:val="24"/>
        </w:rPr>
        <w:tab/>
        <w:t>that Recommendation ITU</w:t>
      </w:r>
      <w:r w:rsidRPr="008159D0">
        <w:rPr>
          <w:szCs w:val="24"/>
        </w:rPr>
        <w:noBreakHyphen/>
        <w:t>R RA.479</w:t>
      </w:r>
      <w:r w:rsidRPr="008159D0">
        <w:rPr>
          <w:szCs w:val="24"/>
        </w:rPr>
        <w:noBreakHyphen/>
        <w:t xml:space="preserve">5 relates to the protection of frequencies for radioastronomical measurements in the </w:t>
      </w:r>
      <w:r w:rsidRPr="008159D0">
        <w:t>SZM</w:t>
      </w:r>
      <w:r w:rsidRPr="008159D0">
        <w:rPr>
          <w:szCs w:val="24"/>
        </w:rPr>
        <w:t xml:space="preserve">, with </w:t>
      </w:r>
      <w:r w:rsidRPr="00864FE5">
        <w:rPr>
          <w:szCs w:val="24"/>
        </w:rPr>
        <w:t>a</w:t>
      </w:r>
      <w:r w:rsidRPr="008159D0">
        <w:rPr>
          <w:szCs w:val="24"/>
        </w:rPr>
        <w:t xml:space="preserve"> view to preserving the unique radioastronomical capabilities in this </w:t>
      </w:r>
      <w:proofErr w:type="gramStart"/>
      <w:r w:rsidRPr="008159D0">
        <w:rPr>
          <w:szCs w:val="24"/>
        </w:rPr>
        <w:t>zone;</w:t>
      </w:r>
      <w:proofErr w:type="gramEnd"/>
    </w:p>
    <w:p w14:paraId="75943055" w14:textId="77777777" w:rsidR="00456895" w:rsidRDefault="00456895">
      <w:pPr>
        <w:tabs>
          <w:tab w:val="clear" w:pos="1134"/>
          <w:tab w:val="clear" w:pos="1871"/>
          <w:tab w:val="clear" w:pos="2268"/>
        </w:tabs>
        <w:overflowPunct/>
        <w:autoSpaceDE/>
        <w:autoSpaceDN/>
        <w:adjustRightInd/>
        <w:spacing w:before="0"/>
        <w:textAlignment w:val="auto"/>
        <w:rPr>
          <w:szCs w:val="24"/>
        </w:rPr>
      </w:pPr>
      <w:r>
        <w:rPr>
          <w:szCs w:val="24"/>
        </w:rPr>
        <w:br w:type="page"/>
      </w:r>
    </w:p>
    <w:p w14:paraId="3CC3472F" w14:textId="77777777" w:rsidR="001C00A3" w:rsidRPr="008159D0" w:rsidRDefault="00000000" w:rsidP="00CF3CE9">
      <w:pPr>
        <w:rPr>
          <w:szCs w:val="24"/>
        </w:rPr>
      </w:pPr>
      <w:r w:rsidRPr="008159D0">
        <w:rPr>
          <w:i/>
          <w:iCs/>
          <w:szCs w:val="24"/>
        </w:rPr>
        <w:lastRenderedPageBreak/>
        <w:t>c)</w:t>
      </w:r>
      <w:r w:rsidRPr="008159D0">
        <w:rPr>
          <w:szCs w:val="24"/>
        </w:rPr>
        <w:tab/>
        <w:t>that the impact of unintended electromagnetic radiation from electrical and electronic systems into radio astronomy receivers should be assessed (see Question ITU</w:t>
      </w:r>
      <w:r w:rsidRPr="008159D0">
        <w:rPr>
          <w:szCs w:val="24"/>
        </w:rPr>
        <w:noBreakHyphen/>
        <w:t>R 243/1</w:t>
      </w:r>
      <w:proofErr w:type="gramStart"/>
      <w:r w:rsidRPr="008159D0">
        <w:rPr>
          <w:szCs w:val="24"/>
        </w:rPr>
        <w:t>);</w:t>
      </w:r>
      <w:proofErr w:type="gramEnd"/>
    </w:p>
    <w:p w14:paraId="2A8EB4EF" w14:textId="77777777" w:rsidR="001C00A3" w:rsidRPr="008159D0" w:rsidRDefault="00000000" w:rsidP="001F56CE">
      <w:pPr>
        <w:pStyle w:val="Call"/>
      </w:pPr>
      <w:r w:rsidRPr="008159D0">
        <w:t>recognizing</w:t>
      </w:r>
    </w:p>
    <w:p w14:paraId="181EFC50" w14:textId="0772E2F9" w:rsidR="00665931" w:rsidRPr="008159D0" w:rsidRDefault="00665931" w:rsidP="00665931">
      <w:r w:rsidRPr="008159D0">
        <w:rPr>
          <w:i/>
          <w:iCs/>
        </w:rPr>
        <w:t>a)</w:t>
      </w:r>
      <w:r w:rsidRPr="008159D0">
        <w:tab/>
        <w:t xml:space="preserve">that studies on sharing and compatibility between potential systems on the Moon’s surface and systems orbiting the Moon would need to take into account any existing SRS applications and other affected services in the same or, as appropriate, adjacent </w:t>
      </w:r>
      <w:proofErr w:type="gramStart"/>
      <w:r w:rsidRPr="008159D0">
        <w:t>bands;</w:t>
      </w:r>
      <w:proofErr w:type="gramEnd"/>
      <w:r w:rsidRPr="008159D0">
        <w:t xml:space="preserve"> </w:t>
      </w:r>
    </w:p>
    <w:p w14:paraId="77C24E25" w14:textId="4654A8E8" w:rsidR="00665931" w:rsidRPr="008159D0" w:rsidRDefault="00665931" w:rsidP="00665931">
      <w:r w:rsidRPr="008159D0">
        <w:rPr>
          <w:i/>
          <w:iCs/>
        </w:rPr>
        <w:t>b)</w:t>
      </w:r>
      <w:r w:rsidRPr="008159D0">
        <w:tab/>
        <w:t>that frequencies for communications between the Earth and the Moon are provided through the existing allocations to</w:t>
      </w:r>
      <w:r w:rsidR="000A2570">
        <w:t xml:space="preserve"> the</w:t>
      </w:r>
      <w:r w:rsidRPr="008159D0">
        <w:t xml:space="preserve"> </w:t>
      </w:r>
      <w:proofErr w:type="gramStart"/>
      <w:r w:rsidRPr="008159D0">
        <w:t>SRS;</w:t>
      </w:r>
      <w:proofErr w:type="gramEnd"/>
    </w:p>
    <w:p w14:paraId="743CCD69" w14:textId="20611EC8" w:rsidR="00665931" w:rsidRPr="008159D0" w:rsidRDefault="00665931" w:rsidP="00665931">
      <w:r w:rsidRPr="008159D0">
        <w:rPr>
          <w:i/>
          <w:iCs/>
        </w:rPr>
        <w:t>c)</w:t>
      </w:r>
      <w:r w:rsidRPr="008159D0">
        <w:tab/>
        <w:t>that frequencies for communications between satellites orbiting the Moon can operate in existing frequency allocations to</w:t>
      </w:r>
      <w:r w:rsidR="000A2570">
        <w:t xml:space="preserve"> the</w:t>
      </w:r>
      <w:r w:rsidRPr="008159D0">
        <w:t xml:space="preserve"> SRS (space-to-space) and the inter-satellite </w:t>
      </w:r>
      <w:proofErr w:type="gramStart"/>
      <w:r w:rsidRPr="008159D0">
        <w:t>service;</w:t>
      </w:r>
      <w:proofErr w:type="gramEnd"/>
    </w:p>
    <w:p w14:paraId="65F17075" w14:textId="77777777" w:rsidR="001C00A3" w:rsidRPr="008159D0" w:rsidRDefault="00000000" w:rsidP="00365B70">
      <w:r w:rsidRPr="008159D0">
        <w:rPr>
          <w:i/>
          <w:iCs/>
        </w:rPr>
        <w:t>d)</w:t>
      </w:r>
      <w:r w:rsidRPr="008159D0">
        <w:tab/>
        <w:t xml:space="preserve">that existing allocations to the amateur radio service have also been used for communications between the Earth and the Moon, and Earth-to-Earth via passive reflection from the </w:t>
      </w:r>
      <w:proofErr w:type="gramStart"/>
      <w:r w:rsidRPr="008159D0">
        <w:t>Moon;</w:t>
      </w:r>
      <w:proofErr w:type="gramEnd"/>
    </w:p>
    <w:p w14:paraId="7A742B84" w14:textId="77777777" w:rsidR="001C00A3" w:rsidRPr="008159D0" w:rsidRDefault="00000000" w:rsidP="002C2BBD">
      <w:r w:rsidRPr="008159D0">
        <w:rPr>
          <w:i/>
          <w:iCs/>
        </w:rPr>
        <w:t>e)</w:t>
      </w:r>
      <w:r w:rsidRPr="008159D0">
        <w:tab/>
        <w:t>that dedicated frequencies are needed in the lunar vicinity for local communications between systems operating on the lunar surface and between systems in lunar orbit and systems on the lunar surface;</w:t>
      </w:r>
    </w:p>
    <w:p w14:paraId="55B66030" w14:textId="77777777" w:rsidR="001C00A3" w:rsidRPr="008159D0" w:rsidRDefault="00000000" w:rsidP="002C2BBD">
      <w:r w:rsidRPr="008159D0">
        <w:rPr>
          <w:i/>
          <w:iCs/>
        </w:rPr>
        <w:t>f)</w:t>
      </w:r>
      <w:r w:rsidRPr="008159D0">
        <w:tab/>
        <w:t>that future development of communications on the lunar surface and between lunar orbit and the lunar surface should take into account the need to maintain the opportunities for radio astronomy observations and the operation of space research sensors, including active and passive sensors on the Moon;</w:t>
      </w:r>
    </w:p>
    <w:p w14:paraId="2E49F856" w14:textId="62C53B04" w:rsidR="00067BA3" w:rsidRPr="008159D0" w:rsidRDefault="00067BA3" w:rsidP="00067BA3">
      <w:pPr>
        <w:rPr>
          <w:szCs w:val="24"/>
        </w:rPr>
      </w:pPr>
      <w:r w:rsidRPr="008159D0">
        <w:rPr>
          <w:i/>
          <w:iCs/>
          <w:szCs w:val="24"/>
        </w:rPr>
        <w:t>g)</w:t>
      </w:r>
      <w:r w:rsidRPr="008159D0">
        <w:rPr>
          <w:szCs w:val="24"/>
        </w:rPr>
        <w:tab/>
        <w:t xml:space="preserve">that the frequency bands 7 190-7 235 MHz (Earth-to-space) and 8 450-8 500 MHz (space-to-Earth) are allocated to the SRS </w:t>
      </w:r>
      <w:r w:rsidRPr="00313657">
        <w:rPr>
          <w:szCs w:val="24"/>
        </w:rPr>
        <w:t>on</w:t>
      </w:r>
      <w:r w:rsidRPr="008159D0">
        <w:rPr>
          <w:szCs w:val="24"/>
        </w:rPr>
        <w:t xml:space="preserve"> a primary </w:t>
      </w:r>
      <w:proofErr w:type="gramStart"/>
      <w:r w:rsidRPr="00313657">
        <w:rPr>
          <w:szCs w:val="24"/>
        </w:rPr>
        <w:t>basis</w:t>
      </w:r>
      <w:r w:rsidRPr="008159D0">
        <w:rPr>
          <w:szCs w:val="24"/>
        </w:rPr>
        <w:t>;</w:t>
      </w:r>
      <w:proofErr w:type="gramEnd"/>
    </w:p>
    <w:p w14:paraId="7B7D5B30" w14:textId="1D6E5DCC" w:rsidR="001C00A3" w:rsidRPr="008159D0" w:rsidRDefault="00067BA3" w:rsidP="00CF3CE9">
      <w:pPr>
        <w:rPr>
          <w:szCs w:val="24"/>
        </w:rPr>
      </w:pPr>
      <w:r w:rsidRPr="008159D0">
        <w:rPr>
          <w:i/>
          <w:iCs/>
          <w:szCs w:val="24"/>
        </w:rPr>
        <w:t>h)</w:t>
      </w:r>
      <w:r w:rsidRPr="008159D0">
        <w:rPr>
          <w:szCs w:val="24"/>
        </w:rPr>
        <w:tab/>
        <w:t>that the frequency band 5 250-5 570</w:t>
      </w:r>
      <w:r w:rsidRPr="008159D0">
        <w:rPr>
          <w:sz w:val="22"/>
          <w:szCs w:val="22"/>
        </w:rPr>
        <w:t> MHz</w:t>
      </w:r>
      <w:r w:rsidRPr="008159D0">
        <w:rPr>
          <w:szCs w:val="24"/>
        </w:rPr>
        <w:t xml:space="preserve"> is allocated to the SRS (active) </w:t>
      </w:r>
      <w:r w:rsidRPr="00313657">
        <w:rPr>
          <w:szCs w:val="24"/>
        </w:rPr>
        <w:t>on</w:t>
      </w:r>
      <w:r w:rsidRPr="008159D0">
        <w:rPr>
          <w:szCs w:val="24"/>
        </w:rPr>
        <w:t xml:space="preserve"> a primary </w:t>
      </w:r>
      <w:proofErr w:type="gramStart"/>
      <w:r w:rsidRPr="00313657">
        <w:rPr>
          <w:szCs w:val="24"/>
        </w:rPr>
        <w:t>basis</w:t>
      </w:r>
      <w:r w:rsidRPr="008159D0">
        <w:rPr>
          <w:szCs w:val="24"/>
        </w:rPr>
        <w:t>;</w:t>
      </w:r>
      <w:proofErr w:type="gramEnd"/>
    </w:p>
    <w:p w14:paraId="1320304F" w14:textId="77777777" w:rsidR="001C00A3" w:rsidRPr="008159D0" w:rsidRDefault="00000000" w:rsidP="00CF3CE9">
      <w:pPr>
        <w:rPr>
          <w:szCs w:val="24"/>
        </w:rPr>
      </w:pPr>
      <w:r w:rsidRPr="008159D0">
        <w:rPr>
          <w:i/>
          <w:iCs/>
          <w:szCs w:val="24"/>
        </w:rPr>
        <w:t>i)</w:t>
      </w:r>
      <w:r w:rsidRPr="008159D0">
        <w:rPr>
          <w:szCs w:val="24"/>
        </w:rPr>
        <w:tab/>
        <w:t>that the frequency bands 3 500-3 800 MHz (space-to-Earth) and 5 725-5 925 MHz (Earth-to-space) are allocated to the fixed-satellite service on a primary basis;</w:t>
      </w:r>
    </w:p>
    <w:p w14:paraId="54EA0184" w14:textId="77777777" w:rsidR="001C00A3" w:rsidRPr="008159D0" w:rsidRDefault="00000000" w:rsidP="00CF3CE9">
      <w:pPr>
        <w:rPr>
          <w:b/>
          <w:szCs w:val="24"/>
        </w:rPr>
      </w:pPr>
      <w:r w:rsidRPr="008159D0">
        <w:rPr>
          <w:i/>
          <w:iCs/>
          <w:szCs w:val="24"/>
        </w:rPr>
        <w:t>j)</w:t>
      </w:r>
      <w:r w:rsidRPr="008159D0">
        <w:rPr>
          <w:szCs w:val="24"/>
        </w:rPr>
        <w:tab/>
        <w:t>that the frequency band 25.25-27.5 GHz is allocated to the inter-satellite service on a primary basis, limited to space research and Earth exploration-satellite applications, and also transmissions of data originating from industrial and medical activities in space, as stipulated in No. </w:t>
      </w:r>
      <w:r w:rsidRPr="008159D0">
        <w:rPr>
          <w:b/>
          <w:szCs w:val="24"/>
        </w:rPr>
        <w:t>5.536</w:t>
      </w:r>
      <w:r w:rsidRPr="008159D0">
        <w:rPr>
          <w:szCs w:val="24"/>
        </w:rPr>
        <w:t>;</w:t>
      </w:r>
    </w:p>
    <w:p w14:paraId="19BD6483" w14:textId="0D98A379" w:rsidR="00456895" w:rsidRDefault="00150395" w:rsidP="00150395">
      <w:pPr>
        <w:tabs>
          <w:tab w:val="clear" w:pos="1134"/>
          <w:tab w:val="clear" w:pos="1871"/>
          <w:tab w:val="clear" w:pos="2268"/>
        </w:tabs>
        <w:overflowPunct/>
        <w:autoSpaceDE/>
        <w:autoSpaceDN/>
        <w:adjustRightInd/>
        <w:textAlignment w:val="auto"/>
        <w:rPr>
          <w:szCs w:val="24"/>
          <w:lang w:eastAsia="fr-FR"/>
        </w:rPr>
      </w:pPr>
      <w:r w:rsidRPr="008159D0">
        <w:rPr>
          <w:i/>
          <w:iCs/>
          <w:szCs w:val="24"/>
          <w:lang w:eastAsia="fr-FR"/>
        </w:rPr>
        <w:t>k)</w:t>
      </w:r>
      <w:r w:rsidRPr="008159D0">
        <w:rPr>
          <w:szCs w:val="24"/>
          <w:lang w:eastAsia="fr-FR"/>
        </w:rPr>
        <w:tab/>
        <w:t>that the fixed and mobile (in some bands mobile, except aeronautical mobile) services are allocated on a primary basis within the frequency ranges 390-399.9 MHz, 400.05-401 MHz by No. </w:t>
      </w:r>
      <w:r w:rsidRPr="008159D0">
        <w:rPr>
          <w:rStyle w:val="Artref"/>
          <w:b/>
          <w:bCs/>
        </w:rPr>
        <w:t>5.262</w:t>
      </w:r>
      <w:r w:rsidRPr="008159D0">
        <w:rPr>
          <w:szCs w:val="24"/>
          <w:lang w:eastAsia="fr-FR"/>
        </w:rPr>
        <w:t>, 420-430 MHz, 440-450 MHz, 2 400-2 690 MHz, 3 500-3 800 MHz, 5 650-5 850 MHz by No. </w:t>
      </w:r>
      <w:r w:rsidRPr="008159D0">
        <w:rPr>
          <w:rStyle w:val="Artref"/>
          <w:b/>
          <w:bCs/>
        </w:rPr>
        <w:t>5.453</w:t>
      </w:r>
      <w:r w:rsidRPr="008159D0">
        <w:rPr>
          <w:szCs w:val="24"/>
          <w:lang w:eastAsia="fr-FR"/>
        </w:rPr>
        <w:t>, 7 190-7 235 MHz, 8 450-8 500 MHz and 25.25-28.35 </w:t>
      </w:r>
      <w:proofErr w:type="gramStart"/>
      <w:r w:rsidRPr="008159D0">
        <w:rPr>
          <w:szCs w:val="24"/>
          <w:lang w:eastAsia="fr-FR"/>
        </w:rPr>
        <w:t>GHz;</w:t>
      </w:r>
      <w:proofErr w:type="gramEnd"/>
    </w:p>
    <w:p w14:paraId="33C40BD6" w14:textId="77777777" w:rsidR="00456895" w:rsidRDefault="00456895">
      <w:pPr>
        <w:tabs>
          <w:tab w:val="clear" w:pos="1134"/>
          <w:tab w:val="clear" w:pos="1871"/>
          <w:tab w:val="clear" w:pos="2268"/>
        </w:tabs>
        <w:overflowPunct/>
        <w:autoSpaceDE/>
        <w:autoSpaceDN/>
        <w:adjustRightInd/>
        <w:spacing w:before="0"/>
        <w:textAlignment w:val="auto"/>
        <w:rPr>
          <w:szCs w:val="24"/>
          <w:lang w:eastAsia="fr-FR"/>
        </w:rPr>
      </w:pPr>
      <w:r>
        <w:rPr>
          <w:szCs w:val="24"/>
          <w:lang w:eastAsia="fr-FR"/>
        </w:rPr>
        <w:br w:type="page"/>
      </w:r>
    </w:p>
    <w:p w14:paraId="11C5C624" w14:textId="23654727" w:rsidR="00150395" w:rsidRPr="008159D0" w:rsidRDefault="00150395" w:rsidP="00150395">
      <w:pPr>
        <w:tabs>
          <w:tab w:val="clear" w:pos="1134"/>
          <w:tab w:val="clear" w:pos="1871"/>
          <w:tab w:val="clear" w:pos="2268"/>
        </w:tabs>
        <w:overflowPunct/>
        <w:autoSpaceDE/>
        <w:autoSpaceDN/>
        <w:adjustRightInd/>
        <w:textAlignment w:val="auto"/>
        <w:rPr>
          <w:szCs w:val="24"/>
          <w:lang w:eastAsia="fr-FR"/>
        </w:rPr>
      </w:pPr>
      <w:r w:rsidRPr="008159D0">
        <w:rPr>
          <w:i/>
          <w:iCs/>
          <w:szCs w:val="24"/>
          <w:lang w:eastAsia="fr-FR"/>
        </w:rPr>
        <w:lastRenderedPageBreak/>
        <w:t>l)</w:t>
      </w:r>
      <w:r w:rsidRPr="008159D0">
        <w:rPr>
          <w:szCs w:val="24"/>
          <w:lang w:eastAsia="fr-FR"/>
        </w:rPr>
        <w:tab/>
        <w:t xml:space="preserve">that the mobile, except aeronautical mobile, service is allocated on a primary basis in the frequency ranges 5 150-5 350 MHz and 5 470-5 725 MHz, the aeronautical mobile service is allocated on a primary basis </w:t>
      </w:r>
      <w:r w:rsidRPr="00910B75">
        <w:rPr>
          <w:szCs w:val="24"/>
          <w:lang w:eastAsia="fr-FR"/>
        </w:rPr>
        <w:t>under</w:t>
      </w:r>
      <w:r w:rsidRPr="008159D0">
        <w:rPr>
          <w:szCs w:val="24"/>
          <w:lang w:eastAsia="fr-FR"/>
        </w:rPr>
        <w:t xml:space="preserve"> Nos. </w:t>
      </w:r>
      <w:r w:rsidRPr="008159D0">
        <w:rPr>
          <w:rStyle w:val="Artref"/>
          <w:b/>
          <w:bCs/>
          <w:szCs w:val="24"/>
        </w:rPr>
        <w:t>5.446C</w:t>
      </w:r>
      <w:r w:rsidRPr="008159D0">
        <w:rPr>
          <w:rStyle w:val="Artref"/>
          <w:bCs/>
          <w:szCs w:val="24"/>
        </w:rPr>
        <w:t xml:space="preserve"> and</w:t>
      </w:r>
      <w:r w:rsidRPr="008159D0">
        <w:rPr>
          <w:szCs w:val="24"/>
          <w:lang w:eastAsia="fr-FR"/>
        </w:rPr>
        <w:t xml:space="preserve"> </w:t>
      </w:r>
      <w:r w:rsidRPr="008159D0">
        <w:rPr>
          <w:rStyle w:val="Artref"/>
          <w:b/>
          <w:bCs/>
        </w:rPr>
        <w:t>5.446D</w:t>
      </w:r>
      <w:r w:rsidRPr="008159D0">
        <w:rPr>
          <w:szCs w:val="24"/>
          <w:lang w:eastAsia="fr-FR"/>
        </w:rPr>
        <w:t xml:space="preserve"> in the frequency band 5 150-5 250 MHz, the fixed service is allocated on a primary basis </w:t>
      </w:r>
      <w:r w:rsidRPr="00910B75">
        <w:rPr>
          <w:szCs w:val="24"/>
          <w:lang w:eastAsia="fr-FR"/>
        </w:rPr>
        <w:t>under</w:t>
      </w:r>
      <w:r w:rsidRPr="008159D0">
        <w:rPr>
          <w:szCs w:val="24"/>
          <w:lang w:eastAsia="fr-FR"/>
        </w:rPr>
        <w:t xml:space="preserve"> No. </w:t>
      </w:r>
      <w:r w:rsidRPr="008159D0">
        <w:rPr>
          <w:rStyle w:val="Artref"/>
          <w:b/>
          <w:bCs/>
        </w:rPr>
        <w:t>5.447E</w:t>
      </w:r>
      <w:r w:rsidRPr="008159D0">
        <w:rPr>
          <w:szCs w:val="24"/>
          <w:lang w:eastAsia="fr-FR"/>
        </w:rPr>
        <w:t xml:space="preserve"> in the frequency band 5 250-5 350 MHz</w:t>
      </w:r>
      <w:r w:rsidRPr="00910B75">
        <w:rPr>
          <w:szCs w:val="24"/>
          <w:lang w:eastAsia="fr-FR"/>
        </w:rPr>
        <w:t xml:space="preserve"> and</w:t>
      </w:r>
      <w:r w:rsidRPr="008159D0">
        <w:rPr>
          <w:szCs w:val="24"/>
          <w:lang w:eastAsia="fr-FR"/>
        </w:rPr>
        <w:t xml:space="preserve"> the fixed service is allocated on a primary basis in the frequency band 5 670-5 850 MHz in No. </w:t>
      </w:r>
      <w:proofErr w:type="gramStart"/>
      <w:r w:rsidRPr="008159D0">
        <w:rPr>
          <w:rStyle w:val="Artref"/>
          <w:b/>
          <w:bCs/>
        </w:rPr>
        <w:t>5.455</w:t>
      </w:r>
      <w:r w:rsidRPr="008159D0">
        <w:rPr>
          <w:szCs w:val="24"/>
          <w:lang w:eastAsia="fr-FR"/>
        </w:rPr>
        <w:t>;</w:t>
      </w:r>
      <w:proofErr w:type="gramEnd"/>
    </w:p>
    <w:p w14:paraId="6B4F10AB" w14:textId="2877908D" w:rsidR="00150395" w:rsidRPr="008159D0" w:rsidRDefault="00150395" w:rsidP="00150395">
      <w:pPr>
        <w:tabs>
          <w:tab w:val="clear" w:pos="1134"/>
          <w:tab w:val="clear" w:pos="1871"/>
          <w:tab w:val="clear" w:pos="2268"/>
        </w:tabs>
        <w:overflowPunct/>
        <w:autoSpaceDE/>
        <w:autoSpaceDN/>
        <w:adjustRightInd/>
        <w:textAlignment w:val="auto"/>
        <w:rPr>
          <w:szCs w:val="24"/>
          <w:lang w:eastAsia="fr-FR"/>
        </w:rPr>
      </w:pPr>
      <w:r w:rsidRPr="008159D0">
        <w:rPr>
          <w:i/>
          <w:iCs/>
          <w:szCs w:val="24"/>
          <w:lang w:eastAsia="fr-FR"/>
        </w:rPr>
        <w:t>m)</w:t>
      </w:r>
      <w:r w:rsidRPr="008159D0">
        <w:rPr>
          <w:szCs w:val="24"/>
          <w:lang w:eastAsia="fr-FR"/>
        </w:rPr>
        <w:tab/>
        <w:t>that the aeronautical radionavigation service is allocated on a primary basis in the frequency bands 5 150-5 250 MHz and 5 350-5 460 MHz and by No. </w:t>
      </w:r>
      <w:r w:rsidRPr="008159D0">
        <w:rPr>
          <w:rStyle w:val="Artref"/>
          <w:b/>
          <w:bCs/>
        </w:rPr>
        <w:t>5.450</w:t>
      </w:r>
      <w:r w:rsidRPr="008159D0">
        <w:rPr>
          <w:szCs w:val="24"/>
          <w:lang w:eastAsia="fr-FR"/>
        </w:rPr>
        <w:t xml:space="preserve"> in the frequency band 5 470-5 650 MHz, the radionavigation service is allocated on a primary basis in the </w:t>
      </w:r>
      <w:r w:rsidRPr="008159D0">
        <w:rPr>
          <w:szCs w:val="24"/>
        </w:rPr>
        <w:t>frequency band 2 450-2 500 MHz (Regions 2 and 3), in the frequency band 5 250-5 350 by No. </w:t>
      </w:r>
      <w:r w:rsidRPr="008159D0">
        <w:rPr>
          <w:b/>
          <w:bCs/>
          <w:szCs w:val="24"/>
        </w:rPr>
        <w:t>5.448</w:t>
      </w:r>
      <w:r w:rsidRPr="008159D0">
        <w:rPr>
          <w:szCs w:val="24"/>
        </w:rPr>
        <w:t xml:space="preserve"> and </w:t>
      </w:r>
      <w:r w:rsidRPr="008159D0">
        <w:rPr>
          <w:szCs w:val="24"/>
          <w:lang w:eastAsia="fr-FR"/>
        </w:rPr>
        <w:t xml:space="preserve">in the frequency band 5 460-5 470 MHz, the maritime radionavigation is allocated on a primary basis in the frequency range 5 470-5 650 MHz, the radiolocation service (RLS) is allocated on a primary basis in the frequency range 5 250-5 850 MHz, and the </w:t>
      </w:r>
      <w:r w:rsidRPr="00910B75">
        <w:rPr>
          <w:szCs w:val="24"/>
          <w:lang w:eastAsia="fr-FR"/>
        </w:rPr>
        <w:t>RLS</w:t>
      </w:r>
      <w:r w:rsidRPr="008159D0">
        <w:rPr>
          <w:szCs w:val="24"/>
          <w:lang w:eastAsia="fr-FR"/>
        </w:rPr>
        <w:t xml:space="preserve"> is allocated on a primary basis </w:t>
      </w:r>
      <w:r w:rsidRPr="00910B75">
        <w:rPr>
          <w:szCs w:val="24"/>
          <w:lang w:eastAsia="fr-FR"/>
        </w:rPr>
        <w:t>under</w:t>
      </w:r>
      <w:r w:rsidRPr="008159D0">
        <w:rPr>
          <w:szCs w:val="24"/>
          <w:lang w:eastAsia="fr-FR"/>
        </w:rPr>
        <w:t xml:space="preserve"> No. </w:t>
      </w:r>
      <w:r w:rsidRPr="008159D0">
        <w:rPr>
          <w:rStyle w:val="Artref"/>
          <w:b/>
          <w:bCs/>
        </w:rPr>
        <w:t>5.269</w:t>
      </w:r>
      <w:r w:rsidRPr="008159D0">
        <w:rPr>
          <w:szCs w:val="24"/>
          <w:lang w:eastAsia="fr-FR"/>
        </w:rPr>
        <w:t xml:space="preserve"> in the frequency bands 420-430 MHz and 440-450 MHz,</w:t>
      </w:r>
    </w:p>
    <w:p w14:paraId="533F55CC" w14:textId="22E3B670" w:rsidR="00150395" w:rsidRPr="008159D0" w:rsidRDefault="00150395" w:rsidP="00150395">
      <w:pPr>
        <w:tabs>
          <w:tab w:val="clear" w:pos="1134"/>
          <w:tab w:val="clear" w:pos="1871"/>
          <w:tab w:val="clear" w:pos="2268"/>
        </w:tabs>
        <w:overflowPunct/>
        <w:autoSpaceDE/>
        <w:autoSpaceDN/>
        <w:adjustRightInd/>
        <w:textAlignment w:val="auto"/>
        <w:rPr>
          <w:szCs w:val="24"/>
        </w:rPr>
      </w:pPr>
      <w:r w:rsidRPr="008159D0">
        <w:rPr>
          <w:i/>
          <w:iCs/>
        </w:rPr>
        <w:t>n)</w:t>
      </w:r>
      <w:r w:rsidRPr="008159D0">
        <w:rPr>
          <w:szCs w:val="24"/>
        </w:rPr>
        <w:tab/>
        <w:t xml:space="preserve">that the broadcasting-satellite service (BSS) is allocated on a primary basis in the frequency range 2 520-2 670 MHz, and the </w:t>
      </w:r>
      <w:r w:rsidRPr="00910B75">
        <w:rPr>
          <w:szCs w:val="24"/>
        </w:rPr>
        <w:t>BSS</w:t>
      </w:r>
      <w:r w:rsidRPr="008159D0">
        <w:rPr>
          <w:szCs w:val="24"/>
        </w:rPr>
        <w:t xml:space="preserve"> (sound) and complementary terrestrial sound broadcasting service </w:t>
      </w:r>
      <w:r w:rsidRPr="00910B75">
        <w:rPr>
          <w:szCs w:val="24"/>
        </w:rPr>
        <w:t>are</w:t>
      </w:r>
      <w:r w:rsidRPr="008159D0">
        <w:rPr>
          <w:szCs w:val="24"/>
        </w:rPr>
        <w:t xml:space="preserve"> allocated on a primary basis </w:t>
      </w:r>
      <w:r w:rsidRPr="00910B75">
        <w:rPr>
          <w:szCs w:val="24"/>
        </w:rPr>
        <w:t>under</w:t>
      </w:r>
      <w:r w:rsidRPr="008159D0">
        <w:rPr>
          <w:szCs w:val="24"/>
        </w:rPr>
        <w:t xml:space="preserve"> No. </w:t>
      </w:r>
      <w:r w:rsidRPr="008159D0">
        <w:rPr>
          <w:b/>
          <w:bCs/>
          <w:szCs w:val="24"/>
        </w:rPr>
        <w:t>5.418</w:t>
      </w:r>
      <w:r w:rsidRPr="008159D0">
        <w:rPr>
          <w:szCs w:val="24"/>
        </w:rPr>
        <w:t xml:space="preserve"> in the frequency band 2 535-2 565 </w:t>
      </w:r>
      <w:proofErr w:type="gramStart"/>
      <w:r w:rsidRPr="008159D0">
        <w:rPr>
          <w:szCs w:val="24"/>
        </w:rPr>
        <w:t>MHz;</w:t>
      </w:r>
      <w:proofErr w:type="gramEnd"/>
    </w:p>
    <w:p w14:paraId="7C72F93C" w14:textId="77777777" w:rsidR="001C00A3" w:rsidRPr="008159D0" w:rsidRDefault="00000000" w:rsidP="002C2BBD">
      <w:pPr>
        <w:pStyle w:val="Call"/>
      </w:pPr>
      <w:r w:rsidRPr="008159D0">
        <w:t>resolves to invite the ITU Radiocommunication Sector to complete in time for the 2027 world radiocommunication conference</w:t>
      </w:r>
    </w:p>
    <w:p w14:paraId="22D1BBA5" w14:textId="23BA7384" w:rsidR="00111470" w:rsidRPr="008159D0" w:rsidRDefault="00111470" w:rsidP="00111470">
      <w:pPr>
        <w:rPr>
          <w:szCs w:val="24"/>
        </w:rPr>
      </w:pPr>
      <w:r w:rsidRPr="008159D0">
        <w:t>1</w:t>
      </w:r>
      <w:r w:rsidRPr="008159D0">
        <w:tab/>
        <w:t xml:space="preserve">studies of the spectrum </w:t>
      </w:r>
      <w:proofErr w:type="gramStart"/>
      <w:r w:rsidRPr="008159D0">
        <w:t>needs</w:t>
      </w:r>
      <w:proofErr w:type="gramEnd"/>
      <w:r w:rsidRPr="008159D0">
        <w:t xml:space="preserve"> of systems in the SRS which may operate on the lunar surface, or systems in lunar orbit communicating with systems on the lunar surface, in the following frequency </w:t>
      </w:r>
      <w:r w:rsidRPr="008159D0">
        <w:rPr>
          <w:szCs w:val="24"/>
        </w:rPr>
        <w:t xml:space="preserve">ranges or portions thereof, taking into account </w:t>
      </w:r>
      <w:r w:rsidRPr="008159D0">
        <w:rPr>
          <w:i/>
          <w:szCs w:val="24"/>
        </w:rPr>
        <w:t>noting</w:t>
      </w:r>
      <w:r w:rsidRPr="008159D0">
        <w:rPr>
          <w:szCs w:val="24"/>
        </w:rPr>
        <w:t> </w:t>
      </w:r>
      <w:r w:rsidRPr="008159D0">
        <w:rPr>
          <w:i/>
          <w:iCs/>
          <w:szCs w:val="24"/>
        </w:rPr>
        <w:t>a)</w:t>
      </w:r>
      <w:r w:rsidRPr="008159D0">
        <w:rPr>
          <w:szCs w:val="24"/>
        </w:rPr>
        <w:t xml:space="preserve">, </w:t>
      </w:r>
      <w:r w:rsidRPr="008159D0">
        <w:rPr>
          <w:i/>
          <w:szCs w:val="24"/>
        </w:rPr>
        <w:t>b)</w:t>
      </w:r>
      <w:r w:rsidRPr="008159D0">
        <w:rPr>
          <w:szCs w:val="24"/>
        </w:rPr>
        <w:t xml:space="preserve"> and </w:t>
      </w:r>
      <w:r w:rsidRPr="008159D0">
        <w:rPr>
          <w:i/>
          <w:iCs/>
          <w:szCs w:val="24"/>
        </w:rPr>
        <w:t>c)</w:t>
      </w:r>
      <w:r w:rsidRPr="008159D0">
        <w:rPr>
          <w:szCs w:val="24"/>
        </w:rPr>
        <w:t>:</w:t>
      </w:r>
    </w:p>
    <w:p w14:paraId="631867E1" w14:textId="7CAFEDD9" w:rsidR="00111470" w:rsidRPr="008159D0" w:rsidRDefault="00111470" w:rsidP="00111470">
      <w:pPr>
        <w:pStyle w:val="enumlev1"/>
        <w:rPr>
          <w:szCs w:val="24"/>
        </w:rPr>
      </w:pPr>
      <w:r w:rsidRPr="008159D0">
        <w:rPr>
          <w:szCs w:val="24"/>
        </w:rPr>
        <w:t>–</w:t>
      </w:r>
      <w:r w:rsidRPr="008159D0">
        <w:rPr>
          <w:szCs w:val="24"/>
        </w:rPr>
        <w:tab/>
        <w:t>390-406.1 MHz, 420-430 </w:t>
      </w:r>
      <w:proofErr w:type="gramStart"/>
      <w:r w:rsidRPr="008159D0">
        <w:rPr>
          <w:szCs w:val="24"/>
        </w:rPr>
        <w:t>MHz</w:t>
      </w:r>
      <w:proofErr w:type="gramEnd"/>
      <w:r w:rsidRPr="008159D0">
        <w:rPr>
          <w:szCs w:val="24"/>
        </w:rPr>
        <w:t xml:space="preserve"> and 440-450 MHz, limited to outside the </w:t>
      </w:r>
      <w:r w:rsidRPr="00445671">
        <w:rPr>
          <w:szCs w:val="24"/>
        </w:rPr>
        <w:t>SZM</w:t>
      </w:r>
    </w:p>
    <w:p w14:paraId="3A5612C2" w14:textId="77777777" w:rsidR="00111470" w:rsidRPr="008159D0" w:rsidRDefault="00111470" w:rsidP="00111470">
      <w:pPr>
        <w:pStyle w:val="enumlev1"/>
      </w:pPr>
      <w:r w:rsidRPr="008159D0">
        <w:t>–</w:t>
      </w:r>
      <w:r w:rsidRPr="008159D0">
        <w:tab/>
        <w:t>2 400</w:t>
      </w:r>
      <w:r w:rsidRPr="008159D0">
        <w:noBreakHyphen/>
        <w:t>2 690 MHz, 3 500-3 800 MHz, 5 150-5 570 MHz, 5 570-5 725 MHz, 5 775-5 925 MHz, 7 190-7 235 MHz, 8 450-8 500 MHz and 25.25-28.35 </w:t>
      </w:r>
      <w:proofErr w:type="gramStart"/>
      <w:r w:rsidRPr="008159D0">
        <w:t>GHz;</w:t>
      </w:r>
      <w:proofErr w:type="gramEnd"/>
    </w:p>
    <w:p w14:paraId="131A6529" w14:textId="0B88B6F2" w:rsidR="00111470" w:rsidRPr="008159D0" w:rsidRDefault="00111470" w:rsidP="00111470">
      <w:r w:rsidRPr="008159D0">
        <w:t>2</w:t>
      </w:r>
      <w:r w:rsidRPr="008159D0">
        <w:tab/>
        <w:t xml:space="preserve">studies of the technical and operational characteristics, as well as protection criteria, of systems in the SRS that are planned for operation in the frequency bands in </w:t>
      </w:r>
      <w:r w:rsidRPr="008159D0">
        <w:rPr>
          <w:i/>
          <w:iCs/>
        </w:rPr>
        <w:t>resolves to invite the ITU Radiocommunication Sector to complete in time for the 2027 world radiocommunication conference</w:t>
      </w:r>
      <w:r w:rsidRPr="008159D0">
        <w:rPr>
          <w:iCs/>
        </w:rPr>
        <w:t xml:space="preserve"> 1, as well as </w:t>
      </w:r>
      <w:r w:rsidRPr="008159D0">
        <w:t>protection criteria to be applied for the protection of the radio astronomy service (RAS)</w:t>
      </w:r>
      <w:r w:rsidRPr="00445671">
        <w:t xml:space="preserve"> and</w:t>
      </w:r>
      <w:r w:rsidRPr="008159D0">
        <w:t xml:space="preserve"> SRS active and passive sensors on the lunar surface and lunar </w:t>
      </w:r>
      <w:proofErr w:type="gramStart"/>
      <w:r w:rsidRPr="008159D0">
        <w:t>orbit;</w:t>
      </w:r>
      <w:proofErr w:type="gramEnd"/>
    </w:p>
    <w:p w14:paraId="76A790B6" w14:textId="25AF5CD0" w:rsidR="00456895" w:rsidRDefault="00111470" w:rsidP="00111470">
      <w:r w:rsidRPr="008159D0">
        <w:t>3</w:t>
      </w:r>
      <w:r w:rsidRPr="008159D0">
        <w:tab/>
        <w:t xml:space="preserve">studies of the propagation considerations for lunar surface systems and lunar-orbiting systems operating in the frequency ranges in </w:t>
      </w:r>
      <w:r w:rsidRPr="008159D0">
        <w:rPr>
          <w:i/>
          <w:iCs/>
        </w:rPr>
        <w:t>resolves to invite the ITU Radiocommunication Sector</w:t>
      </w:r>
      <w:r w:rsidRPr="008159D0">
        <w:t xml:space="preserve"> </w:t>
      </w:r>
      <w:r w:rsidRPr="008159D0">
        <w:rPr>
          <w:i/>
          <w:iCs/>
        </w:rPr>
        <w:t>to complete in time for the 2027 world radiocommunication conference</w:t>
      </w:r>
      <w:r w:rsidRPr="008159D0">
        <w:rPr>
          <w:iCs/>
        </w:rPr>
        <w:t> </w:t>
      </w:r>
      <w:proofErr w:type="gramStart"/>
      <w:r w:rsidRPr="008159D0">
        <w:t>1;</w:t>
      </w:r>
      <w:proofErr w:type="gramEnd"/>
    </w:p>
    <w:p w14:paraId="53886A48" w14:textId="77777777" w:rsidR="00456895" w:rsidRDefault="00456895">
      <w:pPr>
        <w:tabs>
          <w:tab w:val="clear" w:pos="1134"/>
          <w:tab w:val="clear" w:pos="1871"/>
          <w:tab w:val="clear" w:pos="2268"/>
        </w:tabs>
        <w:overflowPunct/>
        <w:autoSpaceDE/>
        <w:autoSpaceDN/>
        <w:adjustRightInd/>
        <w:spacing w:before="0"/>
        <w:textAlignment w:val="auto"/>
      </w:pPr>
      <w:r>
        <w:br w:type="page"/>
      </w:r>
    </w:p>
    <w:p w14:paraId="15678683" w14:textId="07DC48D8" w:rsidR="00111470" w:rsidRPr="008159D0" w:rsidRDefault="00111470" w:rsidP="00111470">
      <w:pPr>
        <w:keepNext/>
      </w:pPr>
      <w:r w:rsidRPr="008159D0">
        <w:lastRenderedPageBreak/>
        <w:t>4</w:t>
      </w:r>
      <w:r w:rsidRPr="008159D0">
        <w:tab/>
        <w:t xml:space="preserve">studies of sharing and compatibility related to systems in the SRS that are planned for operation in the frequency ranges identified in </w:t>
      </w:r>
      <w:r w:rsidRPr="008159D0">
        <w:rPr>
          <w:i/>
          <w:iCs/>
        </w:rPr>
        <w:t>resolves to invite the ITU Radiocommunication Sector</w:t>
      </w:r>
      <w:r w:rsidRPr="008159D0">
        <w:t xml:space="preserve"> </w:t>
      </w:r>
      <w:r w:rsidRPr="008159D0">
        <w:rPr>
          <w:i/>
          <w:iCs/>
        </w:rPr>
        <w:t>to complete in time for the 2027 world radiocommunication conference</w:t>
      </w:r>
      <w:r w:rsidRPr="008159D0">
        <w:rPr>
          <w:iCs/>
        </w:rPr>
        <w:t> </w:t>
      </w:r>
      <w:r w:rsidRPr="008159D0">
        <w:t>1 to ensure protection of:</w:t>
      </w:r>
    </w:p>
    <w:p w14:paraId="3FA014C0" w14:textId="77777777" w:rsidR="00111470" w:rsidRPr="008159D0" w:rsidRDefault="00111470" w:rsidP="00111470">
      <w:pPr>
        <w:pStyle w:val="enumlev1"/>
      </w:pPr>
      <w:r w:rsidRPr="008159D0">
        <w:t>–</w:t>
      </w:r>
      <w:r w:rsidRPr="008159D0">
        <w:tab/>
        <w:t xml:space="preserve">radiocommunication services, as specified in </w:t>
      </w:r>
      <w:r w:rsidRPr="008159D0">
        <w:rPr>
          <w:i/>
          <w:iCs/>
        </w:rPr>
        <w:t>recognizing</w:t>
      </w:r>
      <w:r w:rsidRPr="008159D0">
        <w:t> </w:t>
      </w:r>
      <w:r w:rsidRPr="008159D0">
        <w:rPr>
          <w:i/>
          <w:iCs/>
        </w:rPr>
        <w:t>g)</w:t>
      </w:r>
      <w:r w:rsidRPr="008159D0">
        <w:t xml:space="preserve"> to </w:t>
      </w:r>
      <w:r w:rsidRPr="008159D0">
        <w:rPr>
          <w:i/>
        </w:rPr>
        <w:t>n</w:t>
      </w:r>
      <w:r w:rsidRPr="008159D0">
        <w:rPr>
          <w:i/>
          <w:iCs/>
        </w:rPr>
        <w:t>)</w:t>
      </w:r>
      <w:r w:rsidRPr="008159D0">
        <w:t>, and</w:t>
      </w:r>
    </w:p>
    <w:p w14:paraId="7B48D653" w14:textId="77777777" w:rsidR="00111470" w:rsidRPr="008159D0" w:rsidRDefault="00111470" w:rsidP="00111470">
      <w:pPr>
        <w:pStyle w:val="enumlev1"/>
      </w:pPr>
      <w:r w:rsidRPr="008159D0">
        <w:t>–</w:t>
      </w:r>
      <w:r w:rsidRPr="008159D0">
        <w:tab/>
        <w:t xml:space="preserve">the RAS on the Earth and in the SZM in the same, adjacent or nearby </w:t>
      </w:r>
      <w:proofErr w:type="gramStart"/>
      <w:r w:rsidRPr="008159D0">
        <w:t>bands;</w:t>
      </w:r>
      <w:proofErr w:type="gramEnd"/>
    </w:p>
    <w:p w14:paraId="3453206B" w14:textId="3F5E4F81" w:rsidR="00111470" w:rsidRPr="008159D0" w:rsidRDefault="00111470" w:rsidP="00111470">
      <w:r w:rsidRPr="008159D0">
        <w:t>5</w:t>
      </w:r>
      <w:r w:rsidRPr="008159D0">
        <w:tab/>
        <w:t xml:space="preserve">studies of potential new or modified frequency allocations and/or identifications to the SRS with appropriate regulatory provisions, for communications on the lunar surface or in lunar orbit communicating with systems on the lunar </w:t>
      </w:r>
      <w:proofErr w:type="gramStart"/>
      <w:r w:rsidRPr="008159D0">
        <w:t>surface;</w:t>
      </w:r>
      <w:proofErr w:type="gramEnd"/>
    </w:p>
    <w:p w14:paraId="5BA90DC6" w14:textId="235C62A0" w:rsidR="001C00A3" w:rsidRPr="008159D0" w:rsidRDefault="00111470" w:rsidP="009D0076">
      <w:pPr>
        <w:pStyle w:val="Call"/>
      </w:pPr>
      <w:r w:rsidRPr="008159D0">
        <w:t>invites the ITU Radiocommunication Sector</w:t>
      </w:r>
    </w:p>
    <w:p w14:paraId="7F824AE7" w14:textId="77777777" w:rsidR="001C00A3" w:rsidRPr="008159D0" w:rsidRDefault="00000000" w:rsidP="002C2BBD">
      <w:r w:rsidRPr="008159D0">
        <w:t>1</w:t>
      </w:r>
      <w:r w:rsidRPr="008159D0">
        <w:tab/>
        <w:t xml:space="preserve">to begin studying, taking into account </w:t>
      </w:r>
      <w:r w:rsidRPr="008159D0">
        <w:rPr>
          <w:i/>
        </w:rPr>
        <w:t>considering h)</w:t>
      </w:r>
      <w:r w:rsidRPr="008159D0">
        <w:t xml:space="preserve">, future spectrum needs for lunar communications and systems, beyond those identified in </w:t>
      </w:r>
      <w:r w:rsidRPr="008159D0">
        <w:rPr>
          <w:i/>
          <w:iCs/>
        </w:rPr>
        <w:t>resolves to invite the ITU Radiocommunication Sector</w:t>
      </w:r>
      <w:r w:rsidRPr="008159D0">
        <w:t xml:space="preserve"> </w:t>
      </w:r>
      <w:r w:rsidRPr="008159D0">
        <w:rPr>
          <w:i/>
          <w:iCs/>
        </w:rPr>
        <w:t>to complete in time for the 2027 world radiocommunication conference</w:t>
      </w:r>
      <w:r w:rsidRPr="008159D0">
        <w:t> 1, which may be needed for communications between the Earth, lunar-orbiting spacecraft and the lunar surface;</w:t>
      </w:r>
    </w:p>
    <w:p w14:paraId="77CCBBD4" w14:textId="726CDEF8" w:rsidR="00222216" w:rsidRPr="008159D0" w:rsidRDefault="00222216" w:rsidP="00222216">
      <w:pPr>
        <w:rPr>
          <w:szCs w:val="24"/>
        </w:rPr>
      </w:pPr>
      <w:r w:rsidRPr="008159D0">
        <w:rPr>
          <w:szCs w:val="24"/>
        </w:rPr>
        <w:t>2</w:t>
      </w:r>
      <w:r w:rsidRPr="008159D0">
        <w:rPr>
          <w:szCs w:val="24"/>
        </w:rPr>
        <w:tab/>
        <w:t xml:space="preserve">to study whether future radiocommunications in the vicinity of the Moon, as described in </w:t>
      </w:r>
      <w:r w:rsidRPr="008159D0">
        <w:rPr>
          <w:i/>
          <w:iCs/>
          <w:szCs w:val="24"/>
        </w:rPr>
        <w:t>considering</w:t>
      </w:r>
      <w:r w:rsidRPr="008159D0">
        <w:rPr>
          <w:szCs w:val="24"/>
        </w:rPr>
        <w:t> </w:t>
      </w:r>
      <w:r w:rsidRPr="008159D0">
        <w:rPr>
          <w:i/>
          <w:szCs w:val="24"/>
        </w:rPr>
        <w:t>h)</w:t>
      </w:r>
      <w:r w:rsidRPr="008159D0">
        <w:rPr>
          <w:iCs/>
          <w:szCs w:val="24"/>
        </w:rPr>
        <w:t xml:space="preserve">, can be accommodated within existing space radiocommunication services and </w:t>
      </w:r>
      <w:r w:rsidRPr="003F7EE1">
        <w:rPr>
          <w:iCs/>
          <w:szCs w:val="24"/>
        </w:rPr>
        <w:t>whether</w:t>
      </w:r>
      <w:r w:rsidRPr="008159D0">
        <w:rPr>
          <w:iCs/>
          <w:szCs w:val="24"/>
        </w:rPr>
        <w:t xml:space="preserve"> the regulatory provisions described in the Radio Regulations are sufficient,</w:t>
      </w:r>
    </w:p>
    <w:p w14:paraId="11F948D7" w14:textId="77777777" w:rsidR="001C00A3" w:rsidRDefault="00000000" w:rsidP="002C2BBD">
      <w:pPr>
        <w:pStyle w:val="Call"/>
      </w:pPr>
      <w:r w:rsidRPr="008159D0">
        <w:t>invites administrations</w:t>
      </w:r>
    </w:p>
    <w:p w14:paraId="2D11A9D9" w14:textId="77777777" w:rsidR="00CE5163" w:rsidRPr="00344AE0" w:rsidRDefault="00CE5163" w:rsidP="00CE5163">
      <w:r w:rsidRPr="00344AE0">
        <w:rPr>
          <w:rFonts w:eastAsia="Calibri"/>
        </w:rPr>
        <w:t xml:space="preserve">to participate in the studies </w:t>
      </w:r>
      <w:r w:rsidRPr="00344AE0">
        <w:t>by submitting</w:t>
      </w:r>
      <w:r w:rsidRPr="00344AE0">
        <w:rPr>
          <w:rFonts w:eastAsia="Calibri"/>
        </w:rPr>
        <w:t xml:space="preserve"> contributions</w:t>
      </w:r>
      <w:r w:rsidRPr="00344AE0">
        <w:t xml:space="preserve"> to the </w:t>
      </w:r>
      <w:r w:rsidRPr="00344AE0">
        <w:rPr>
          <w:rFonts w:eastAsia="Calibri"/>
        </w:rPr>
        <w:t>ITU Radiocommunication Sector</w:t>
      </w:r>
      <w:r w:rsidRPr="00344AE0">
        <w:t>,</w:t>
      </w:r>
    </w:p>
    <w:p w14:paraId="6C950C9C" w14:textId="19ADA6E7" w:rsidR="00CE5163" w:rsidRPr="00CE5163" w:rsidRDefault="00CE5163" w:rsidP="000A1FCE">
      <w:pPr>
        <w:pStyle w:val="Call"/>
      </w:pPr>
      <w:r w:rsidRPr="00344AE0">
        <w:t>invites the 2027 world radiocommunication conference</w:t>
      </w:r>
    </w:p>
    <w:p w14:paraId="4B6D6154" w14:textId="46EDF0F1" w:rsidR="00D82DC5" w:rsidRPr="008159D0" w:rsidRDefault="00D82DC5" w:rsidP="00D82DC5">
      <w:pPr>
        <w:rPr>
          <w:i/>
          <w:iCs/>
        </w:rPr>
      </w:pPr>
      <w:r w:rsidRPr="008159D0">
        <w:t xml:space="preserve">to consider, based on the results of the studies referred to in </w:t>
      </w:r>
      <w:r w:rsidRPr="008159D0">
        <w:rPr>
          <w:i/>
          <w:iCs/>
        </w:rPr>
        <w:t>resolves to invite the ITU Radiocommunication Sector to complete in time for the 2027 world radiocommunication conference </w:t>
      </w:r>
      <w:r w:rsidRPr="008159D0">
        <w:t>1</w:t>
      </w:r>
      <w:r w:rsidRPr="008159D0">
        <w:rPr>
          <w:iCs/>
        </w:rPr>
        <w:t xml:space="preserve"> </w:t>
      </w:r>
      <w:r w:rsidRPr="003F7EE1">
        <w:rPr>
          <w:iCs/>
        </w:rPr>
        <w:t>to</w:t>
      </w:r>
      <w:r w:rsidRPr="008159D0">
        <w:rPr>
          <w:i/>
          <w:iCs/>
        </w:rPr>
        <w:t> </w:t>
      </w:r>
      <w:r w:rsidRPr="008159D0">
        <w:t>5, new or modified allocations and/or identifications in the SRS in the frequency ranges in</w:t>
      </w:r>
      <w:r w:rsidRPr="008159D0">
        <w:rPr>
          <w:i/>
          <w:iCs/>
        </w:rPr>
        <w:t xml:space="preserve"> resolves to invite the ITU Radiocommunication Sector to complete in time for the 2027 world radiocommunication conference</w:t>
      </w:r>
      <w:r w:rsidRPr="008159D0">
        <w:t> 1</w:t>
      </w:r>
      <w:r w:rsidRPr="008159D0">
        <w:rPr>
          <w:i/>
          <w:iCs/>
        </w:rPr>
        <w:t xml:space="preserve"> </w:t>
      </w:r>
      <w:r w:rsidRPr="008159D0">
        <w:rPr>
          <w:iCs/>
        </w:rPr>
        <w:t>above</w:t>
      </w:r>
      <w:r w:rsidRPr="008159D0">
        <w:t>, or portions thereof,</w:t>
      </w:r>
      <w:r w:rsidRPr="008159D0">
        <w:rPr>
          <w:i/>
          <w:iCs/>
        </w:rPr>
        <w:t xml:space="preserve"> </w:t>
      </w:r>
      <w:r w:rsidRPr="008159D0">
        <w:t>for use in the vicinity of the Moon</w:t>
      </w:r>
      <w:r w:rsidRPr="008159D0">
        <w:rPr>
          <w:iCs/>
        </w:rPr>
        <w:t>,</w:t>
      </w:r>
    </w:p>
    <w:p w14:paraId="3E3BB0A7" w14:textId="77777777" w:rsidR="00D82DC5" w:rsidRPr="008159D0" w:rsidRDefault="00D82DC5" w:rsidP="00D82DC5">
      <w:pPr>
        <w:pStyle w:val="Call"/>
      </w:pPr>
      <w:r w:rsidRPr="008159D0">
        <w:t>instructs the Director of the Radiocommunication Bureau</w:t>
      </w:r>
    </w:p>
    <w:p w14:paraId="12F4C80B" w14:textId="554637D6" w:rsidR="00D82DC5" w:rsidRPr="008159D0" w:rsidRDefault="00D82DC5" w:rsidP="00D82DC5">
      <w:r w:rsidRPr="008159D0">
        <w:t>to report to WRC</w:t>
      </w:r>
      <w:r w:rsidRPr="008159D0">
        <w:noBreakHyphen/>
        <w:t>27 on the progress of the studies referred to in</w:t>
      </w:r>
      <w:r w:rsidRPr="008159D0">
        <w:rPr>
          <w:i/>
          <w:iCs/>
        </w:rPr>
        <w:t xml:space="preserve"> invites the ITU Radiocommunication Sector</w:t>
      </w:r>
      <w:r w:rsidRPr="008159D0">
        <w:t> 1 and 2 above,</w:t>
      </w:r>
    </w:p>
    <w:p w14:paraId="53AB0B83" w14:textId="126EAAB3" w:rsidR="00D82DC5" w:rsidRPr="008159D0" w:rsidRDefault="00D82DC5" w:rsidP="00D82DC5">
      <w:pPr>
        <w:pStyle w:val="Call"/>
      </w:pPr>
      <w:r w:rsidRPr="008159D0">
        <w:t>invites a future competent world radiocommunication conference after WRC</w:t>
      </w:r>
      <w:r w:rsidRPr="008159D0">
        <w:noBreakHyphen/>
        <w:t>27</w:t>
      </w:r>
    </w:p>
    <w:p w14:paraId="63E57F4C" w14:textId="279173BA" w:rsidR="00D82DC5" w:rsidRPr="008159D0" w:rsidRDefault="00D82DC5" w:rsidP="00D82DC5">
      <w:r w:rsidRPr="008159D0">
        <w:t>to consider</w:t>
      </w:r>
      <w:r w:rsidRPr="008159D0">
        <w:rPr>
          <w:szCs w:val="24"/>
        </w:rPr>
        <w:t>, if necessary,</w:t>
      </w:r>
      <w:r w:rsidRPr="008159D0">
        <w:t xml:space="preserve"> appropriate regulatory actions based upon the studies called for in</w:t>
      </w:r>
      <w:r w:rsidRPr="008159D0">
        <w:rPr>
          <w:i/>
        </w:rPr>
        <w:t xml:space="preserve"> </w:t>
      </w:r>
      <w:r w:rsidRPr="008159D0">
        <w:rPr>
          <w:i/>
          <w:iCs/>
        </w:rPr>
        <w:t>invites the ITU Radiocommunication Sector</w:t>
      </w:r>
      <w:r w:rsidRPr="008159D0" w:rsidDel="00EE25AE">
        <w:rPr>
          <w:i/>
          <w:iCs/>
        </w:rPr>
        <w:t xml:space="preserve"> </w:t>
      </w:r>
      <w:r w:rsidRPr="008159D0">
        <w:t>1</w:t>
      </w:r>
      <w:r w:rsidRPr="008159D0">
        <w:rPr>
          <w:i/>
          <w:iCs/>
        </w:rPr>
        <w:t xml:space="preserve"> </w:t>
      </w:r>
      <w:r w:rsidRPr="008159D0">
        <w:rPr>
          <w:iCs/>
        </w:rPr>
        <w:t>and 2</w:t>
      </w:r>
      <w:r w:rsidRPr="008159D0">
        <w:rPr>
          <w:i/>
          <w:iCs/>
        </w:rPr>
        <w:t> </w:t>
      </w:r>
      <w:r w:rsidRPr="008159D0">
        <w:rPr>
          <w:iCs/>
        </w:rPr>
        <w:t>above</w:t>
      </w:r>
      <w:r w:rsidRPr="008159D0">
        <w:t>.</w:t>
      </w:r>
    </w:p>
    <w:p w14:paraId="0DAA0F4A" w14:textId="77777777" w:rsidR="00FC4EDB" w:rsidRPr="008159D0" w:rsidRDefault="00FC4EDB">
      <w:pPr>
        <w:pStyle w:val="Reasons"/>
      </w:pPr>
    </w:p>
    <w:p w14:paraId="50193484" w14:textId="77777777" w:rsidR="00FC4EDB" w:rsidRPr="008159D0" w:rsidRDefault="00000000">
      <w:pPr>
        <w:pStyle w:val="Proposal"/>
      </w:pPr>
      <w:r w:rsidRPr="008159D0">
        <w:lastRenderedPageBreak/>
        <w:t>ADD</w:t>
      </w:r>
      <w:r w:rsidRPr="008159D0">
        <w:tab/>
        <w:t>B40/474/3</w:t>
      </w:r>
      <w:r w:rsidRPr="008159D0">
        <w:rPr>
          <w:vanish/>
          <w:color w:val="7F7F7F" w:themeColor="text1" w:themeTint="80"/>
          <w:vertAlign w:val="superscript"/>
        </w:rPr>
        <w:t>#10531</w:t>
      </w:r>
    </w:p>
    <w:p w14:paraId="7200935A" w14:textId="79628E8D" w:rsidR="001C00A3" w:rsidRPr="008159D0" w:rsidRDefault="00000000" w:rsidP="004B53A3">
      <w:pPr>
        <w:pStyle w:val="ResNo"/>
      </w:pPr>
      <w:r w:rsidRPr="008159D0">
        <w:t>Resolution COM6/5 (WRC-23)</w:t>
      </w:r>
    </w:p>
    <w:p w14:paraId="1B21D703" w14:textId="5E386FFA" w:rsidR="001C00A3" w:rsidRPr="008159D0" w:rsidRDefault="00000000" w:rsidP="00D16A23">
      <w:pPr>
        <w:pStyle w:val="Restitle"/>
      </w:pPr>
      <w:r w:rsidRPr="008159D0">
        <w:t xml:space="preserve">Studies on compatibility between the Earth exploration-satellite service (passive), the radio astronomy service in certain bands above 76 GHz, </w:t>
      </w:r>
      <w:r w:rsidRPr="008159D0">
        <w:br/>
        <w:t>and active services in adjacent and nearby frequency bands</w:t>
      </w:r>
    </w:p>
    <w:p w14:paraId="7C42568B" w14:textId="77777777" w:rsidR="001C00A3" w:rsidRPr="008159D0" w:rsidRDefault="00000000" w:rsidP="00D16A23">
      <w:pPr>
        <w:pStyle w:val="Normalaftertitle"/>
      </w:pPr>
      <w:r w:rsidRPr="008159D0">
        <w:t>The World Radiocommunication Conference (Dubai, 2023),</w:t>
      </w:r>
    </w:p>
    <w:p w14:paraId="17FF0524" w14:textId="77777777" w:rsidR="001C00A3" w:rsidRPr="008159D0" w:rsidRDefault="00000000" w:rsidP="00D16A23">
      <w:pPr>
        <w:pStyle w:val="Call"/>
      </w:pPr>
      <w:r w:rsidRPr="008159D0">
        <w:t>considering</w:t>
      </w:r>
    </w:p>
    <w:p w14:paraId="24A64F8A" w14:textId="12115B96" w:rsidR="00932C31" w:rsidRPr="008159D0" w:rsidRDefault="00932C31" w:rsidP="00932C31">
      <w:r w:rsidRPr="008159D0">
        <w:rPr>
          <w:i/>
        </w:rPr>
        <w:t>a)</w:t>
      </w:r>
      <w:r w:rsidRPr="008159D0">
        <w:tab/>
        <w:t>that WRC</w:t>
      </w:r>
      <w:r w:rsidRPr="008159D0">
        <w:noBreakHyphen/>
        <w:t>2000 made a number of different allocation changes to the frequency bands above 71 GHz, including primary allocations to the Earth exploration-satellite service (EESS) (passive) subject to No. </w:t>
      </w:r>
      <w:r w:rsidRPr="008159D0">
        <w:rPr>
          <w:rStyle w:val="Artref"/>
          <w:b/>
          <w:bCs/>
        </w:rPr>
        <w:t>5.340</w:t>
      </w:r>
      <w:r w:rsidRPr="008159D0">
        <w:t xml:space="preserve">, based on the requirements known at the time of that </w:t>
      </w:r>
      <w:proofErr w:type="gramStart"/>
      <w:r w:rsidRPr="00965A40">
        <w:t>c</w:t>
      </w:r>
      <w:r w:rsidRPr="008159D0">
        <w:t>onference;</w:t>
      </w:r>
      <w:proofErr w:type="gramEnd"/>
    </w:p>
    <w:p w14:paraId="78B243F2" w14:textId="77777777" w:rsidR="001C00A3" w:rsidRPr="008159D0" w:rsidRDefault="00000000" w:rsidP="00D16A23">
      <w:r w:rsidRPr="008159D0">
        <w:rPr>
          <w:i/>
          <w:iCs/>
        </w:rPr>
        <w:t>b)</w:t>
      </w:r>
      <w:r w:rsidRPr="008159D0">
        <w:tab/>
        <w:t>that primary allocations have been made to various active services in frequency bands adjacent to frequency bands above 86 GHz allocated to the EESS (passive) subject to No. </w:t>
      </w:r>
      <w:proofErr w:type="gramStart"/>
      <w:r w:rsidRPr="008159D0">
        <w:rPr>
          <w:b/>
          <w:bCs/>
        </w:rPr>
        <w:t>5.340</w:t>
      </w:r>
      <w:r w:rsidRPr="008159D0">
        <w:t>;</w:t>
      </w:r>
      <w:proofErr w:type="gramEnd"/>
    </w:p>
    <w:p w14:paraId="5B5F0FE8" w14:textId="77777777" w:rsidR="00C33380" w:rsidRPr="008159D0" w:rsidRDefault="00C33380" w:rsidP="00C33380">
      <w:r w:rsidRPr="008159D0">
        <w:rPr>
          <w:i/>
        </w:rPr>
        <w:t>c)</w:t>
      </w:r>
      <w:r w:rsidRPr="008159D0">
        <w:tab/>
        <w:t>that primary service allocations have been made, in adjacent or nearby frequency bands, to the radio astronomy service (RAS) and to various space services, such as the fixed-satellite service (FSS), mobile-satellite service (MSS), broadcasting-satellite service (BSS) and radionavigation-satellite service (RNSS), hereinafter referred to as “active satellite services”, in frequency bands above 76 </w:t>
      </w:r>
      <w:proofErr w:type="gramStart"/>
      <w:r w:rsidRPr="008159D0">
        <w:t>GHz;</w:t>
      </w:r>
      <w:proofErr w:type="gramEnd"/>
    </w:p>
    <w:p w14:paraId="26D8F287" w14:textId="77777777" w:rsidR="001C00A3" w:rsidRPr="008159D0" w:rsidRDefault="00000000" w:rsidP="00D16A23">
      <w:r w:rsidRPr="008159D0">
        <w:rPr>
          <w:i/>
          <w:iCs/>
        </w:rPr>
        <w:t>d)</w:t>
      </w:r>
      <w:r w:rsidRPr="008159D0">
        <w:tab/>
        <w:t xml:space="preserve">that unwanted emissions from active services have the potential to cause unacceptable interference to the EESS (passive) and the </w:t>
      </w:r>
      <w:proofErr w:type="gramStart"/>
      <w:r w:rsidRPr="008159D0">
        <w:t>RAS;</w:t>
      </w:r>
      <w:proofErr w:type="gramEnd"/>
    </w:p>
    <w:p w14:paraId="6BDCF943" w14:textId="77777777" w:rsidR="001C00A3" w:rsidRPr="008159D0" w:rsidRDefault="00000000" w:rsidP="00D16A23">
      <w:r w:rsidRPr="008159D0">
        <w:rPr>
          <w:i/>
        </w:rPr>
        <w:t>e)</w:t>
      </w:r>
      <w:r w:rsidRPr="008159D0">
        <w:tab/>
        <w:t>that, in many cases, the frequencies used by EESS (passive) sensors and stations of the RAS are chosen to study natural phenomena producing radio emissions at frequencies fixed by the laws of nature, and therefore shifting frequency to avoid or mitigate interference problems is not possible;</w:t>
      </w:r>
    </w:p>
    <w:p w14:paraId="17535F7A" w14:textId="77777777" w:rsidR="001C00A3" w:rsidRPr="008159D0" w:rsidRDefault="00000000" w:rsidP="00D16A23">
      <w:r w:rsidRPr="008159D0">
        <w:rPr>
          <w:i/>
          <w:iCs/>
        </w:rPr>
        <w:t>f)</w:t>
      </w:r>
      <w:r w:rsidRPr="008159D0">
        <w:tab/>
        <w:t>that the current regulatory provisions and procedures may require review to ensure protection of the EESS (passive) and the RAS from harmful interference produced by active services as listed in Tables 1 and 2 below,</w:t>
      </w:r>
    </w:p>
    <w:p w14:paraId="74828097" w14:textId="77777777" w:rsidR="001C00A3" w:rsidRPr="008159D0" w:rsidRDefault="00000000" w:rsidP="00D16A23">
      <w:pPr>
        <w:pStyle w:val="Call"/>
      </w:pPr>
      <w:r w:rsidRPr="008159D0">
        <w:t>noting</w:t>
      </w:r>
    </w:p>
    <w:p w14:paraId="127360B7" w14:textId="59516D23" w:rsidR="005903A7" w:rsidRPr="008159D0" w:rsidRDefault="005903A7" w:rsidP="005903A7">
      <w:r w:rsidRPr="008159D0">
        <w:rPr>
          <w:i/>
        </w:rPr>
        <w:t>a)</w:t>
      </w:r>
      <w:r w:rsidRPr="008159D0">
        <w:tab/>
        <w:t>that Resolution </w:t>
      </w:r>
      <w:r w:rsidRPr="008159D0">
        <w:rPr>
          <w:b/>
        </w:rPr>
        <w:t>750</w:t>
      </w:r>
      <w:r w:rsidRPr="008159D0">
        <w:t xml:space="preserve"> </w:t>
      </w:r>
      <w:r w:rsidRPr="008159D0">
        <w:rPr>
          <w:b/>
        </w:rPr>
        <w:t>(Rev.WRC</w:t>
      </w:r>
      <w:r w:rsidRPr="008159D0">
        <w:rPr>
          <w:b/>
        </w:rPr>
        <w:noBreakHyphen/>
        <w:t>19)</w:t>
      </w:r>
      <w:r w:rsidRPr="008159D0">
        <w:t xml:space="preserve"> deals with compatibility between the EESS (passive) and some active </w:t>
      </w:r>
      <w:proofErr w:type="gramStart"/>
      <w:r w:rsidRPr="008159D0">
        <w:t>services;</w:t>
      </w:r>
      <w:proofErr w:type="gramEnd"/>
    </w:p>
    <w:p w14:paraId="6F520FD7" w14:textId="19E072A1" w:rsidR="00FB5F11" w:rsidRDefault="005903A7" w:rsidP="005903A7">
      <w:r w:rsidRPr="008159D0">
        <w:rPr>
          <w:i/>
        </w:rPr>
        <w:t>b)</w:t>
      </w:r>
      <w:r w:rsidRPr="008159D0">
        <w:tab/>
        <w:t>that Resolution </w:t>
      </w:r>
      <w:r w:rsidRPr="008159D0">
        <w:rPr>
          <w:b/>
        </w:rPr>
        <w:t>750</w:t>
      </w:r>
      <w:r w:rsidRPr="008159D0">
        <w:t xml:space="preserve"> </w:t>
      </w:r>
      <w:r w:rsidRPr="008159D0">
        <w:rPr>
          <w:b/>
        </w:rPr>
        <w:t>(Rev.WRC</w:t>
      </w:r>
      <w:r w:rsidRPr="008159D0">
        <w:rPr>
          <w:b/>
        </w:rPr>
        <w:noBreakHyphen/>
        <w:t>19)</w:t>
      </w:r>
      <w:r w:rsidRPr="008159D0">
        <w:t xml:space="preserve"> already contains provisions to protect the EESS (passive) in the frequency band 86-92 GHz from emissions of the fixed service in the frequency bands 81-86 GHz and 92-94 GHz and that there is no intention to change these </w:t>
      </w:r>
      <w:proofErr w:type="gramStart"/>
      <w:r w:rsidRPr="008159D0">
        <w:t>provisions;</w:t>
      </w:r>
      <w:proofErr w:type="gramEnd"/>
    </w:p>
    <w:p w14:paraId="529A569D" w14:textId="77777777" w:rsidR="00FB5F11" w:rsidRDefault="00FB5F11">
      <w:pPr>
        <w:tabs>
          <w:tab w:val="clear" w:pos="1134"/>
          <w:tab w:val="clear" w:pos="1871"/>
          <w:tab w:val="clear" w:pos="2268"/>
        </w:tabs>
        <w:overflowPunct/>
        <w:autoSpaceDE/>
        <w:autoSpaceDN/>
        <w:adjustRightInd/>
        <w:spacing w:before="0"/>
        <w:textAlignment w:val="auto"/>
      </w:pPr>
      <w:r>
        <w:br w:type="page"/>
      </w:r>
    </w:p>
    <w:p w14:paraId="711A5A31" w14:textId="77777777" w:rsidR="001C00A3" w:rsidRPr="008159D0" w:rsidRDefault="00000000" w:rsidP="00D16A23">
      <w:r w:rsidRPr="008159D0">
        <w:rPr>
          <w:i/>
        </w:rPr>
        <w:lastRenderedPageBreak/>
        <w:t>c)</w:t>
      </w:r>
      <w:r w:rsidRPr="008159D0">
        <w:tab/>
        <w:t>that there is no intention to change the existing allocations or status of allocations in Article </w:t>
      </w:r>
      <w:r w:rsidRPr="008159D0">
        <w:rPr>
          <w:b/>
        </w:rPr>
        <w:t xml:space="preserve">5 </w:t>
      </w:r>
      <w:r w:rsidRPr="008159D0">
        <w:t>for the frequency bands above 86 </w:t>
      </w:r>
      <w:proofErr w:type="gramStart"/>
      <w:r w:rsidRPr="008159D0">
        <w:t>GHz;</w:t>
      </w:r>
      <w:proofErr w:type="gramEnd"/>
    </w:p>
    <w:p w14:paraId="1B02EBE2" w14:textId="77777777" w:rsidR="001C00A3" w:rsidRPr="008159D0" w:rsidRDefault="00000000" w:rsidP="00D16A23">
      <w:r w:rsidRPr="008159D0">
        <w:rPr>
          <w:i/>
        </w:rPr>
        <w:t>d)</w:t>
      </w:r>
      <w:r w:rsidRPr="008159D0">
        <w:tab/>
        <w:t>that interference criteria for EESS (passive) sensors have been developed and are given in Recommendation ITU</w:t>
      </w:r>
      <w:r w:rsidRPr="008159D0">
        <w:noBreakHyphen/>
        <w:t>R RS.2017;</w:t>
      </w:r>
    </w:p>
    <w:p w14:paraId="5A200E19" w14:textId="77777777" w:rsidR="001C00A3" w:rsidRPr="008159D0" w:rsidRDefault="00000000" w:rsidP="00D16A23">
      <w:r w:rsidRPr="008159D0">
        <w:rPr>
          <w:i/>
        </w:rPr>
        <w:t>e)</w:t>
      </w:r>
      <w:r w:rsidRPr="008159D0">
        <w:tab/>
        <w:t>that typical technical and operational characteristics of EESS (passive) systems are given in Recommendation ITU</w:t>
      </w:r>
      <w:r w:rsidRPr="008159D0">
        <w:noBreakHyphen/>
        <w:t>R RS.1861;</w:t>
      </w:r>
    </w:p>
    <w:p w14:paraId="1AC9BC7C" w14:textId="77777777" w:rsidR="001C00A3" w:rsidRPr="008159D0" w:rsidRDefault="00000000" w:rsidP="00D16A23">
      <w:r w:rsidRPr="008159D0">
        <w:rPr>
          <w:i/>
        </w:rPr>
        <w:t>f)</w:t>
      </w:r>
      <w:r w:rsidRPr="008159D0">
        <w:tab/>
        <w:t>that the allocation to the inter-satellite service in the frequency band 116-119.98 GHz is subject to No. </w:t>
      </w:r>
      <w:r w:rsidRPr="008159D0">
        <w:rPr>
          <w:b/>
          <w:bCs/>
        </w:rPr>
        <w:t>5.562C</w:t>
      </w:r>
      <w:r w:rsidRPr="008159D0">
        <w:t>;</w:t>
      </w:r>
    </w:p>
    <w:p w14:paraId="4850AE00" w14:textId="77777777" w:rsidR="001C00A3" w:rsidRPr="008159D0" w:rsidRDefault="00000000" w:rsidP="00D16A23">
      <w:r w:rsidRPr="008159D0">
        <w:rPr>
          <w:i/>
          <w:iCs/>
        </w:rPr>
        <w:t>g)</w:t>
      </w:r>
      <w:r w:rsidRPr="008159D0">
        <w:tab/>
        <w:t>that Resolution </w:t>
      </w:r>
      <w:r w:rsidRPr="008159D0">
        <w:rPr>
          <w:b/>
        </w:rPr>
        <w:t>739 (Rev.WRC</w:t>
      </w:r>
      <w:r w:rsidRPr="008159D0">
        <w:rPr>
          <w:b/>
        </w:rPr>
        <w:noBreakHyphen/>
        <w:t>19)</w:t>
      </w:r>
      <w:r w:rsidRPr="008159D0">
        <w:t xml:space="preserve"> applies under No. </w:t>
      </w:r>
      <w:r w:rsidRPr="008159D0">
        <w:rPr>
          <w:rStyle w:val="Artref"/>
          <w:b/>
          <w:bCs/>
        </w:rPr>
        <w:t>5.208B</w:t>
      </w:r>
      <w:r w:rsidRPr="008159D0">
        <w:t xml:space="preserve"> for the frequency bands listed in the Annex to that Resolution;</w:t>
      </w:r>
    </w:p>
    <w:p w14:paraId="5A2FFE61" w14:textId="77777777" w:rsidR="001C00A3" w:rsidRPr="008159D0" w:rsidRDefault="00000000" w:rsidP="00D16A23">
      <w:r w:rsidRPr="008159D0">
        <w:rPr>
          <w:i/>
          <w:iCs/>
        </w:rPr>
        <w:t>h)</w:t>
      </w:r>
      <w:r w:rsidRPr="008159D0">
        <w:tab/>
        <w:t xml:space="preserve">that, according to </w:t>
      </w:r>
      <w:r w:rsidRPr="008159D0">
        <w:rPr>
          <w:i/>
          <w:iCs/>
        </w:rPr>
        <w:t>resolves</w:t>
      </w:r>
      <w:r w:rsidRPr="008159D0">
        <w:t> 3 of Resolution </w:t>
      </w:r>
      <w:r w:rsidRPr="008159D0">
        <w:rPr>
          <w:b/>
        </w:rPr>
        <w:t>739 (Rev.WRC</w:t>
      </w:r>
      <w:r w:rsidRPr="008159D0">
        <w:rPr>
          <w:b/>
        </w:rPr>
        <w:noBreakHyphen/>
        <w:t>19)</w:t>
      </w:r>
      <w:r w:rsidRPr="008159D0">
        <w:rPr>
          <w:bCs/>
        </w:rPr>
        <w:t>,</w:t>
      </w:r>
      <w:r w:rsidRPr="008159D0">
        <w:t xml:space="preserve"> in case the unwanted emissions from the space station or satellite system cannot meet the values given in the Annex to that Resolution, the concerned administrations enter into a consultation process in order to achieve a mutually acceptable solution;</w:t>
      </w:r>
    </w:p>
    <w:p w14:paraId="1C061F90" w14:textId="77777777" w:rsidR="00337748" w:rsidRPr="008159D0" w:rsidRDefault="00337748" w:rsidP="00337748">
      <w:r w:rsidRPr="008159D0">
        <w:rPr>
          <w:i/>
          <w:iCs/>
        </w:rPr>
        <w:t>i)</w:t>
      </w:r>
      <w:r w:rsidRPr="008159D0">
        <w:tab/>
        <w:t>that Resolution </w:t>
      </w:r>
      <w:r w:rsidRPr="008159D0">
        <w:rPr>
          <w:b/>
        </w:rPr>
        <w:t>739 (Rev.WRC</w:t>
      </w:r>
      <w:r w:rsidRPr="008159D0">
        <w:rPr>
          <w:b/>
        </w:rPr>
        <w:noBreakHyphen/>
        <w:t>19)</w:t>
      </w:r>
      <w:r w:rsidRPr="008159D0">
        <w:t xml:space="preserve"> defines thresholds to be met by any geostationary space station (Table 1 of Annex to Resolution </w:t>
      </w:r>
      <w:r w:rsidRPr="008159D0">
        <w:rPr>
          <w:b/>
        </w:rPr>
        <w:t>739 (Rev.WRC</w:t>
      </w:r>
      <w:r w:rsidRPr="008159D0">
        <w:rPr>
          <w:b/>
        </w:rPr>
        <w:noBreakHyphen/>
        <w:t>19</w:t>
      </w:r>
      <w:r w:rsidRPr="008159D0">
        <w:t>) or by any single network of non-geostationary-satellite orbit (non-GSO) space stations (Table 2 of Annex to Resolution </w:t>
      </w:r>
      <w:r w:rsidRPr="008159D0">
        <w:rPr>
          <w:b/>
        </w:rPr>
        <w:t>739 (Rev.WRC</w:t>
      </w:r>
      <w:r w:rsidRPr="008159D0">
        <w:rPr>
          <w:b/>
        </w:rPr>
        <w:noBreakHyphen/>
        <w:t>19)</w:t>
      </w:r>
      <w:r w:rsidRPr="008159D0">
        <w:t xml:space="preserve">) in order to protect radio astronomy </w:t>
      </w:r>
      <w:proofErr w:type="gramStart"/>
      <w:r w:rsidRPr="008159D0">
        <w:t>stations;</w:t>
      </w:r>
      <w:proofErr w:type="gramEnd"/>
    </w:p>
    <w:p w14:paraId="47955728" w14:textId="77777777" w:rsidR="001C00A3" w:rsidRPr="008159D0" w:rsidRDefault="00000000" w:rsidP="00D16A23">
      <w:r w:rsidRPr="008159D0">
        <w:rPr>
          <w:i/>
          <w:iCs/>
        </w:rPr>
        <w:t>j)</w:t>
      </w:r>
      <w:r w:rsidRPr="008159D0">
        <w:tab/>
        <w:t>that Recommendation ITU</w:t>
      </w:r>
      <w:r w:rsidRPr="008159D0">
        <w:noBreakHyphen/>
        <w:t xml:space="preserve">R RA.769 provides, in Annex 1, the general consideration and assumptions used in the calculation of interference </w:t>
      </w:r>
      <w:proofErr w:type="gramStart"/>
      <w:r w:rsidRPr="008159D0">
        <w:t>levels;</w:t>
      </w:r>
      <w:proofErr w:type="gramEnd"/>
    </w:p>
    <w:p w14:paraId="08335C41" w14:textId="23D4B561" w:rsidR="00345B87" w:rsidRPr="008159D0" w:rsidRDefault="00345B87" w:rsidP="00345B87">
      <w:r w:rsidRPr="008159D0">
        <w:rPr>
          <w:i/>
          <w:iCs/>
        </w:rPr>
        <w:t>k)</w:t>
      </w:r>
      <w:r w:rsidRPr="008159D0">
        <w:tab/>
        <w:t>that Recommendation ITU</w:t>
      </w:r>
      <w:r w:rsidRPr="008159D0">
        <w:noBreakHyphen/>
        <w:t xml:space="preserve">R RA.769 provides, in Table 1 and Table 2, the threshold levels </w:t>
      </w:r>
      <w:r w:rsidRPr="000240AD">
        <w:t>for</w:t>
      </w:r>
      <w:r w:rsidRPr="008159D0">
        <w:t xml:space="preserve"> interference detrimental to radio astronomy observations in some radio astronomy </w:t>
      </w:r>
      <w:proofErr w:type="gramStart"/>
      <w:r w:rsidRPr="008159D0">
        <w:t>bands;</w:t>
      </w:r>
      <w:proofErr w:type="gramEnd"/>
    </w:p>
    <w:p w14:paraId="1DECB940" w14:textId="77777777" w:rsidR="001C00A3" w:rsidRPr="008159D0" w:rsidRDefault="00000000" w:rsidP="00D16A23">
      <w:r w:rsidRPr="008159D0">
        <w:rPr>
          <w:i/>
          <w:iCs/>
        </w:rPr>
        <w:t>l)</w:t>
      </w:r>
      <w:r w:rsidRPr="008159D0">
        <w:tab/>
        <w:t>that Recommendation ITU</w:t>
      </w:r>
      <w:r w:rsidRPr="008159D0">
        <w:noBreakHyphen/>
        <w:t xml:space="preserve">R RA.1631 provides the typical maximum RAS antenna gains </w:t>
      </w:r>
      <w:proofErr w:type="gramStart"/>
      <w:r w:rsidRPr="008159D0">
        <w:t>in order to</w:t>
      </w:r>
      <w:proofErr w:type="gramEnd"/>
      <w:r w:rsidRPr="008159D0">
        <w:t xml:space="preserve"> derive the equivalent power flux-density (</w:t>
      </w:r>
      <w:r w:rsidRPr="008159D0">
        <w:rPr>
          <w:rFonts w:ascii="TimesNewRoman" w:eastAsiaTheme="minorHAnsi" w:hAnsi="TimesNewRoman" w:cs="TimesNewRoman"/>
          <w:szCs w:val="24"/>
        </w:rPr>
        <w:t xml:space="preserve">epfd) resulting from unwanted emission levels produced by a </w:t>
      </w:r>
      <w:r w:rsidRPr="008159D0">
        <w:t>non-GSO</w:t>
      </w:r>
      <w:r w:rsidRPr="008159D0">
        <w:rPr>
          <w:rFonts w:ascii="TimesNewRoman" w:eastAsiaTheme="minorHAnsi" w:hAnsi="TimesNewRoman" w:cs="TimesNewRoman"/>
          <w:szCs w:val="24"/>
        </w:rPr>
        <w:t xml:space="preserve"> system at radio astronomy stations,</w:t>
      </w:r>
    </w:p>
    <w:p w14:paraId="1D8B9DD9" w14:textId="77777777" w:rsidR="001C00A3" w:rsidRPr="008159D0" w:rsidRDefault="00000000" w:rsidP="00D16A23">
      <w:pPr>
        <w:pStyle w:val="Call"/>
      </w:pPr>
      <w:r w:rsidRPr="008159D0">
        <w:t>recognizing</w:t>
      </w:r>
    </w:p>
    <w:p w14:paraId="1C1620C1" w14:textId="77777777" w:rsidR="00EE76DC" w:rsidRPr="008159D0" w:rsidRDefault="00EE76DC" w:rsidP="00EE76DC">
      <w:pPr>
        <w:rPr>
          <w:i/>
          <w:iCs/>
        </w:rPr>
      </w:pPr>
      <w:r w:rsidRPr="008159D0">
        <w:rPr>
          <w:i/>
          <w:iCs/>
        </w:rPr>
        <w:t>a)</w:t>
      </w:r>
      <w:r w:rsidRPr="008159D0">
        <w:rPr>
          <w:i/>
          <w:iCs/>
        </w:rPr>
        <w:tab/>
      </w:r>
      <w:r w:rsidRPr="008159D0">
        <w:t>that Resolution </w:t>
      </w:r>
      <w:r w:rsidRPr="008159D0">
        <w:rPr>
          <w:b/>
          <w:bCs/>
        </w:rPr>
        <w:t>739 (Rev.WRC</w:t>
      </w:r>
      <w:r w:rsidRPr="008159D0">
        <w:rPr>
          <w:b/>
          <w:bCs/>
        </w:rPr>
        <w:noBreakHyphen/>
        <w:t>19)</w:t>
      </w:r>
      <w:r w:rsidRPr="008159D0">
        <w:t xml:space="preserve"> contains no </w:t>
      </w:r>
      <w:bookmarkStart w:id="7" w:name="_Hlk141197325"/>
      <w:r w:rsidRPr="008159D0">
        <w:t>power flux-density (pfd)/epfd threshold for unwanted emission from any geostationary-satellite orbit (GSO)/non-GSO space station</w:t>
      </w:r>
      <w:bookmarkEnd w:id="7"/>
      <w:r w:rsidRPr="008159D0">
        <w:t xml:space="preserve"> in the bands listed in Table 2 to this </w:t>
      </w:r>
      <w:proofErr w:type="gramStart"/>
      <w:r w:rsidRPr="008159D0">
        <w:t>Resolution;</w:t>
      </w:r>
      <w:proofErr w:type="gramEnd"/>
    </w:p>
    <w:p w14:paraId="17F346C9" w14:textId="764FB577" w:rsidR="00C306D4" w:rsidRDefault="00EE76DC" w:rsidP="00EE76DC">
      <w:r w:rsidRPr="008159D0">
        <w:rPr>
          <w:i/>
          <w:iCs/>
        </w:rPr>
        <w:t>b)</w:t>
      </w:r>
      <w:r w:rsidRPr="008159D0">
        <w:rPr>
          <w:i/>
          <w:iCs/>
        </w:rPr>
        <w:tab/>
      </w:r>
      <w:r w:rsidRPr="008159D0">
        <w:t>that the current values provided in Resolution </w:t>
      </w:r>
      <w:r w:rsidRPr="008159D0">
        <w:rPr>
          <w:b/>
          <w:bCs/>
        </w:rPr>
        <w:t>739 (Rev.WRC</w:t>
      </w:r>
      <w:r w:rsidRPr="008159D0">
        <w:rPr>
          <w:b/>
          <w:bCs/>
        </w:rPr>
        <w:noBreakHyphen/>
        <w:t>19)</w:t>
      </w:r>
      <w:r w:rsidRPr="008159D0">
        <w:t xml:space="preserve"> are derived from Recommendations ITU</w:t>
      </w:r>
      <w:r w:rsidRPr="008159D0">
        <w:noBreakHyphen/>
        <w:t>R RA.769 and ITU</w:t>
      </w:r>
      <w:r w:rsidRPr="008159D0">
        <w:noBreakHyphen/>
        <w:t>R RA.1631,</w:t>
      </w:r>
    </w:p>
    <w:p w14:paraId="6AF194A2" w14:textId="77777777" w:rsidR="00C306D4" w:rsidRDefault="00C306D4">
      <w:pPr>
        <w:tabs>
          <w:tab w:val="clear" w:pos="1134"/>
          <w:tab w:val="clear" w:pos="1871"/>
          <w:tab w:val="clear" w:pos="2268"/>
        </w:tabs>
        <w:overflowPunct/>
        <w:autoSpaceDE/>
        <w:autoSpaceDN/>
        <w:adjustRightInd/>
        <w:spacing w:before="0"/>
        <w:textAlignment w:val="auto"/>
      </w:pPr>
      <w:r>
        <w:br w:type="page"/>
      </w:r>
    </w:p>
    <w:p w14:paraId="11D3FBC0" w14:textId="77777777" w:rsidR="001C00A3" w:rsidRPr="008159D0" w:rsidRDefault="00000000" w:rsidP="00D16A23">
      <w:pPr>
        <w:pStyle w:val="Call"/>
      </w:pPr>
      <w:r w:rsidRPr="008159D0">
        <w:lastRenderedPageBreak/>
        <w:t xml:space="preserve">resolves to invite the ITU Radiocommunication Sector to complete in time for the 2027 world radiocommunication conference </w:t>
      </w:r>
    </w:p>
    <w:p w14:paraId="0C6D9DE4" w14:textId="77777777" w:rsidR="001C00A3" w:rsidRPr="008159D0" w:rsidRDefault="00000000" w:rsidP="00D16A23">
      <w:r w:rsidRPr="008159D0">
        <w:t>1</w:t>
      </w:r>
      <w:r w:rsidRPr="008159D0">
        <w:tab/>
        <w:t>compatibility studies between the EESS (passive) and the corresponding active services in adjacent frequency bands as listed in Table 1 below:</w:t>
      </w:r>
    </w:p>
    <w:p w14:paraId="644EDC96" w14:textId="77777777" w:rsidR="001C00A3" w:rsidRPr="008159D0" w:rsidRDefault="00000000" w:rsidP="00D16A23">
      <w:pPr>
        <w:pStyle w:val="TableNo"/>
      </w:pPr>
      <w:r w:rsidRPr="008159D0">
        <w:t>Table 1</w:t>
      </w:r>
    </w:p>
    <w:p w14:paraId="40715F80" w14:textId="77777777" w:rsidR="001C00A3" w:rsidRPr="008159D0" w:rsidRDefault="00000000" w:rsidP="00D16A23">
      <w:pPr>
        <w:pStyle w:val="Tabletitle"/>
      </w:pPr>
      <w:r w:rsidRPr="008159D0">
        <w:t>EESS (passive) frequency bands to be studied and corresponding active services to be included</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39"/>
        <w:gridCol w:w="4964"/>
      </w:tblGrid>
      <w:tr w:rsidR="00D16A23" w:rsidRPr="008159D0" w14:paraId="402A0098" w14:textId="77777777" w:rsidTr="00671C85">
        <w:trPr>
          <w:tblHeader/>
          <w:jc w:val="center"/>
        </w:trPr>
        <w:tc>
          <w:tcPr>
            <w:tcW w:w="1984" w:type="dxa"/>
          </w:tcPr>
          <w:p w14:paraId="586998C0" w14:textId="77777777" w:rsidR="001C00A3" w:rsidRPr="008159D0" w:rsidRDefault="00000000" w:rsidP="00C40625">
            <w:pPr>
              <w:pStyle w:val="Tablehead"/>
            </w:pPr>
            <w:r w:rsidRPr="008159D0">
              <w:t>EESS (passive) frequency band</w:t>
            </w:r>
          </w:p>
        </w:tc>
        <w:tc>
          <w:tcPr>
            <w:tcW w:w="1839" w:type="dxa"/>
          </w:tcPr>
          <w:p w14:paraId="6615E320" w14:textId="77777777" w:rsidR="001C00A3" w:rsidRPr="008159D0" w:rsidRDefault="00000000" w:rsidP="00C40625">
            <w:pPr>
              <w:pStyle w:val="Tablehead"/>
            </w:pPr>
            <w:r w:rsidRPr="008159D0">
              <w:t>Active service frequency band</w:t>
            </w:r>
          </w:p>
        </w:tc>
        <w:tc>
          <w:tcPr>
            <w:tcW w:w="4964" w:type="dxa"/>
          </w:tcPr>
          <w:p w14:paraId="70B7399C" w14:textId="77777777" w:rsidR="001C00A3" w:rsidRPr="008159D0" w:rsidRDefault="00000000" w:rsidP="00C40625">
            <w:pPr>
              <w:pStyle w:val="Tablehead"/>
            </w:pPr>
            <w:r w:rsidRPr="008159D0">
              <w:t>Active service</w:t>
            </w:r>
          </w:p>
        </w:tc>
      </w:tr>
      <w:tr w:rsidR="00D16A23" w:rsidRPr="008159D0" w14:paraId="465AADFB" w14:textId="77777777" w:rsidTr="00C40625">
        <w:trPr>
          <w:trHeight w:val="141"/>
          <w:jc w:val="center"/>
        </w:trPr>
        <w:tc>
          <w:tcPr>
            <w:tcW w:w="1984" w:type="dxa"/>
            <w:vMerge w:val="restart"/>
            <w:shd w:val="clear" w:color="auto" w:fill="auto"/>
          </w:tcPr>
          <w:p w14:paraId="2665A8DA" w14:textId="77777777" w:rsidR="001C00A3" w:rsidRPr="008159D0" w:rsidRDefault="00000000" w:rsidP="00C40625">
            <w:pPr>
              <w:pStyle w:val="Tabletext"/>
            </w:pPr>
            <w:r w:rsidRPr="008159D0">
              <w:t>86-92 GHz</w:t>
            </w:r>
          </w:p>
        </w:tc>
        <w:tc>
          <w:tcPr>
            <w:tcW w:w="1839" w:type="dxa"/>
            <w:shd w:val="clear" w:color="auto" w:fill="auto"/>
          </w:tcPr>
          <w:p w14:paraId="250B80AC" w14:textId="77777777" w:rsidR="001C00A3" w:rsidRPr="008159D0" w:rsidRDefault="00000000" w:rsidP="00C40625">
            <w:pPr>
              <w:pStyle w:val="Tabletext"/>
            </w:pPr>
            <w:r w:rsidRPr="008159D0">
              <w:t>81-86 GHz</w:t>
            </w:r>
          </w:p>
        </w:tc>
        <w:tc>
          <w:tcPr>
            <w:tcW w:w="4964" w:type="dxa"/>
            <w:shd w:val="clear" w:color="auto" w:fill="auto"/>
          </w:tcPr>
          <w:p w14:paraId="45541948" w14:textId="77777777" w:rsidR="001C00A3" w:rsidRPr="008159D0" w:rsidRDefault="00000000" w:rsidP="00C40625">
            <w:pPr>
              <w:pStyle w:val="Tabletext"/>
            </w:pPr>
            <w:r w:rsidRPr="008159D0">
              <w:t>Fixed-satellite service (FSS) (Earth-to-space), mobile service (MS)</w:t>
            </w:r>
          </w:p>
        </w:tc>
      </w:tr>
      <w:tr w:rsidR="00D16A23" w:rsidRPr="008159D0" w14:paraId="49D844A4" w14:textId="77777777" w:rsidTr="00C40625">
        <w:trPr>
          <w:trHeight w:val="118"/>
          <w:jc w:val="center"/>
        </w:trPr>
        <w:tc>
          <w:tcPr>
            <w:tcW w:w="1984" w:type="dxa"/>
            <w:vMerge/>
            <w:shd w:val="clear" w:color="auto" w:fill="auto"/>
          </w:tcPr>
          <w:p w14:paraId="1FD15352" w14:textId="77777777" w:rsidR="001C00A3" w:rsidRPr="008159D0" w:rsidRDefault="00000000" w:rsidP="00C40625">
            <w:pPr>
              <w:pStyle w:val="Tabletext"/>
            </w:pPr>
          </w:p>
        </w:tc>
        <w:tc>
          <w:tcPr>
            <w:tcW w:w="1839" w:type="dxa"/>
            <w:shd w:val="clear" w:color="auto" w:fill="auto"/>
          </w:tcPr>
          <w:p w14:paraId="3C764229" w14:textId="77777777" w:rsidR="001C00A3" w:rsidRPr="008159D0" w:rsidRDefault="00000000" w:rsidP="00C40625">
            <w:pPr>
              <w:pStyle w:val="Tabletext"/>
            </w:pPr>
            <w:r w:rsidRPr="008159D0">
              <w:t>92-94 GHz</w:t>
            </w:r>
          </w:p>
        </w:tc>
        <w:tc>
          <w:tcPr>
            <w:tcW w:w="4964" w:type="dxa"/>
            <w:shd w:val="clear" w:color="auto" w:fill="auto"/>
          </w:tcPr>
          <w:p w14:paraId="1FD502C7" w14:textId="77777777" w:rsidR="001C00A3" w:rsidRPr="008159D0" w:rsidRDefault="00000000" w:rsidP="00C40625">
            <w:pPr>
              <w:pStyle w:val="Tabletext"/>
            </w:pPr>
            <w:r w:rsidRPr="008159D0">
              <w:t>MS, radiolocation service (RLS)</w:t>
            </w:r>
          </w:p>
        </w:tc>
      </w:tr>
      <w:tr w:rsidR="00D16A23" w:rsidRPr="008159D0" w14:paraId="6D7F5083" w14:textId="77777777" w:rsidTr="00C40625">
        <w:trPr>
          <w:trHeight w:val="341"/>
          <w:jc w:val="center"/>
        </w:trPr>
        <w:tc>
          <w:tcPr>
            <w:tcW w:w="1984" w:type="dxa"/>
          </w:tcPr>
          <w:p w14:paraId="08CE11D6" w14:textId="77777777" w:rsidR="001C00A3" w:rsidRPr="008159D0" w:rsidRDefault="00000000" w:rsidP="00C40625">
            <w:pPr>
              <w:pStyle w:val="Tabletext"/>
            </w:pPr>
            <w:r w:rsidRPr="008159D0">
              <w:t>114.25-116 GHz</w:t>
            </w:r>
          </w:p>
        </w:tc>
        <w:tc>
          <w:tcPr>
            <w:tcW w:w="1839" w:type="dxa"/>
          </w:tcPr>
          <w:p w14:paraId="648EF271" w14:textId="77777777" w:rsidR="001C00A3" w:rsidRPr="008159D0" w:rsidRDefault="00000000" w:rsidP="00C40625">
            <w:pPr>
              <w:pStyle w:val="Tabletext"/>
            </w:pPr>
            <w:r w:rsidRPr="008159D0">
              <w:t>111.8-114.25 GHz</w:t>
            </w:r>
          </w:p>
        </w:tc>
        <w:tc>
          <w:tcPr>
            <w:tcW w:w="4964" w:type="dxa"/>
          </w:tcPr>
          <w:p w14:paraId="5AF7BFA0" w14:textId="77777777" w:rsidR="001C00A3" w:rsidRPr="008159D0" w:rsidRDefault="00000000" w:rsidP="00C40625">
            <w:pPr>
              <w:pStyle w:val="Tabletext"/>
            </w:pPr>
            <w:r w:rsidRPr="008159D0">
              <w:t>Fixed service (FS), MS</w:t>
            </w:r>
          </w:p>
        </w:tc>
      </w:tr>
      <w:tr w:rsidR="00D16A23" w:rsidRPr="008159D0" w14:paraId="7932DA37" w14:textId="77777777" w:rsidTr="00C40625">
        <w:trPr>
          <w:trHeight w:val="194"/>
          <w:jc w:val="center"/>
        </w:trPr>
        <w:tc>
          <w:tcPr>
            <w:tcW w:w="1984" w:type="dxa"/>
            <w:vMerge w:val="restart"/>
          </w:tcPr>
          <w:p w14:paraId="4840A74D" w14:textId="77777777" w:rsidR="001C00A3" w:rsidRPr="008159D0" w:rsidRDefault="00000000" w:rsidP="00C40625">
            <w:pPr>
              <w:pStyle w:val="Tabletext"/>
            </w:pPr>
            <w:r w:rsidRPr="008159D0">
              <w:t>164-167 GHz</w:t>
            </w:r>
          </w:p>
        </w:tc>
        <w:tc>
          <w:tcPr>
            <w:tcW w:w="1839" w:type="dxa"/>
          </w:tcPr>
          <w:p w14:paraId="735F1C98" w14:textId="77777777" w:rsidR="001C00A3" w:rsidRPr="008159D0" w:rsidRDefault="00000000" w:rsidP="00C40625">
            <w:pPr>
              <w:pStyle w:val="Tabletext"/>
            </w:pPr>
            <w:r w:rsidRPr="008159D0">
              <w:t>158.5-164 GHz</w:t>
            </w:r>
          </w:p>
        </w:tc>
        <w:tc>
          <w:tcPr>
            <w:tcW w:w="4964" w:type="dxa"/>
          </w:tcPr>
          <w:p w14:paraId="22D8FB71" w14:textId="77777777" w:rsidR="001C00A3" w:rsidRPr="008159D0" w:rsidRDefault="00000000" w:rsidP="00C40625">
            <w:pPr>
              <w:pStyle w:val="Tabletext"/>
            </w:pPr>
            <w:r w:rsidRPr="008159D0">
              <w:t>FS, FSS (space-to-Earth), MS, mobile-satellite service (MSS) (space-to-Earth)</w:t>
            </w:r>
          </w:p>
        </w:tc>
      </w:tr>
      <w:tr w:rsidR="00D16A23" w:rsidRPr="008159D0" w14:paraId="7EED19A5" w14:textId="77777777" w:rsidTr="00C40625">
        <w:trPr>
          <w:trHeight w:val="194"/>
          <w:jc w:val="center"/>
        </w:trPr>
        <w:tc>
          <w:tcPr>
            <w:tcW w:w="1984" w:type="dxa"/>
            <w:vMerge/>
          </w:tcPr>
          <w:p w14:paraId="2EEA6AB7" w14:textId="77777777" w:rsidR="001C00A3" w:rsidRPr="008159D0" w:rsidRDefault="00000000" w:rsidP="00C40625">
            <w:pPr>
              <w:pStyle w:val="Tabletext"/>
            </w:pPr>
          </w:p>
        </w:tc>
        <w:tc>
          <w:tcPr>
            <w:tcW w:w="1839" w:type="dxa"/>
          </w:tcPr>
          <w:p w14:paraId="720CB655" w14:textId="77777777" w:rsidR="001C00A3" w:rsidRPr="008159D0" w:rsidRDefault="00000000" w:rsidP="00C40625">
            <w:pPr>
              <w:pStyle w:val="Tabletext"/>
            </w:pPr>
            <w:r w:rsidRPr="008159D0">
              <w:t>167-174.5 GHz</w:t>
            </w:r>
          </w:p>
        </w:tc>
        <w:tc>
          <w:tcPr>
            <w:tcW w:w="4964" w:type="dxa"/>
          </w:tcPr>
          <w:p w14:paraId="6CBBE27F" w14:textId="77777777" w:rsidR="001C00A3" w:rsidRPr="008159D0" w:rsidRDefault="00000000" w:rsidP="00C40625">
            <w:pPr>
              <w:pStyle w:val="Tabletext"/>
            </w:pPr>
            <w:r w:rsidRPr="008159D0">
              <w:t>FS, FSS (space-to-Earth), inter-satellite service (ISS), MS</w:t>
            </w:r>
          </w:p>
        </w:tc>
      </w:tr>
      <w:tr w:rsidR="00D16A23" w:rsidRPr="008159D0" w14:paraId="37CF7C04" w14:textId="77777777" w:rsidTr="00C40625">
        <w:trPr>
          <w:trHeight w:val="338"/>
          <w:jc w:val="center"/>
        </w:trPr>
        <w:tc>
          <w:tcPr>
            <w:tcW w:w="1984" w:type="dxa"/>
            <w:vMerge w:val="restart"/>
          </w:tcPr>
          <w:p w14:paraId="68FDC45A" w14:textId="77777777" w:rsidR="001C00A3" w:rsidRPr="008159D0" w:rsidRDefault="00000000" w:rsidP="00C40625">
            <w:pPr>
              <w:pStyle w:val="Tabletext"/>
            </w:pPr>
            <w:r w:rsidRPr="008159D0">
              <w:t>200-209 GHz</w:t>
            </w:r>
          </w:p>
        </w:tc>
        <w:tc>
          <w:tcPr>
            <w:tcW w:w="1839" w:type="dxa"/>
            <w:tcBorders>
              <w:bottom w:val="single" w:sz="4" w:space="0" w:color="auto"/>
            </w:tcBorders>
          </w:tcPr>
          <w:p w14:paraId="6A62A2CF" w14:textId="77777777" w:rsidR="001C00A3" w:rsidRPr="008159D0" w:rsidRDefault="00000000" w:rsidP="00C40625">
            <w:pPr>
              <w:pStyle w:val="Tabletext"/>
            </w:pPr>
            <w:r w:rsidRPr="008159D0">
              <w:t>191.8-200 GHz</w:t>
            </w:r>
          </w:p>
        </w:tc>
        <w:tc>
          <w:tcPr>
            <w:tcW w:w="4964" w:type="dxa"/>
          </w:tcPr>
          <w:p w14:paraId="650CD18A" w14:textId="77777777" w:rsidR="001C00A3" w:rsidRPr="008159D0" w:rsidRDefault="00000000" w:rsidP="00C40625">
            <w:pPr>
              <w:pStyle w:val="Tabletext"/>
            </w:pPr>
            <w:r w:rsidRPr="008159D0">
              <w:t>FS, ISS, MS, MSS, radionavigation service (RNS), radionavigation-satellite service (RNSS)</w:t>
            </w:r>
          </w:p>
        </w:tc>
      </w:tr>
      <w:tr w:rsidR="00D16A23" w:rsidRPr="008159D0" w14:paraId="0B7211D2" w14:textId="77777777" w:rsidTr="00C40625">
        <w:trPr>
          <w:trHeight w:val="338"/>
          <w:jc w:val="center"/>
        </w:trPr>
        <w:tc>
          <w:tcPr>
            <w:tcW w:w="1984" w:type="dxa"/>
            <w:vMerge/>
            <w:tcBorders>
              <w:bottom w:val="single" w:sz="4" w:space="0" w:color="auto"/>
            </w:tcBorders>
          </w:tcPr>
          <w:p w14:paraId="2DD579F9" w14:textId="77777777" w:rsidR="001C00A3" w:rsidRPr="008159D0" w:rsidRDefault="00000000" w:rsidP="00C40625">
            <w:pPr>
              <w:pStyle w:val="Tabletext"/>
              <w:rPr>
                <w:bCs/>
              </w:rPr>
            </w:pPr>
          </w:p>
        </w:tc>
        <w:tc>
          <w:tcPr>
            <w:tcW w:w="1839" w:type="dxa"/>
            <w:tcBorders>
              <w:bottom w:val="single" w:sz="4" w:space="0" w:color="auto"/>
            </w:tcBorders>
          </w:tcPr>
          <w:p w14:paraId="71B51B19" w14:textId="77777777" w:rsidR="001C00A3" w:rsidRPr="008159D0" w:rsidRDefault="00000000" w:rsidP="00C40625">
            <w:pPr>
              <w:pStyle w:val="Tabletext"/>
            </w:pPr>
            <w:r w:rsidRPr="008159D0">
              <w:t>209-217 GHz</w:t>
            </w:r>
          </w:p>
        </w:tc>
        <w:tc>
          <w:tcPr>
            <w:tcW w:w="4964" w:type="dxa"/>
            <w:tcBorders>
              <w:bottom w:val="single" w:sz="4" w:space="0" w:color="auto"/>
            </w:tcBorders>
          </w:tcPr>
          <w:p w14:paraId="4BDD7F86" w14:textId="77777777" w:rsidR="001C00A3" w:rsidRPr="008159D0" w:rsidRDefault="00000000" w:rsidP="00C40625">
            <w:pPr>
              <w:pStyle w:val="Tabletext"/>
            </w:pPr>
            <w:r w:rsidRPr="008159D0">
              <w:t>FS, FSS (Earth-to-space), MS</w:t>
            </w:r>
          </w:p>
        </w:tc>
      </w:tr>
    </w:tbl>
    <w:p w14:paraId="0CC1EFE9" w14:textId="01513F65" w:rsidR="00911CEA" w:rsidRPr="008159D0" w:rsidRDefault="00911CEA" w:rsidP="00911CEA">
      <w:r w:rsidRPr="008159D0">
        <w:t>2</w:t>
      </w:r>
      <w:r w:rsidRPr="008159D0">
        <w:tab/>
        <w:t>compatibility studies between the RAS and the active satellite services in certain adjacent and nearby frequency bands listed in Table 2 below with a view to setting the relevant threshold levels for unwanted emissions from any GSO and non-GSO space stations and revising and updating Resolution </w:t>
      </w:r>
      <w:r w:rsidRPr="008159D0">
        <w:rPr>
          <w:b/>
        </w:rPr>
        <w:t>739 (Rev.WRC</w:t>
      </w:r>
      <w:r w:rsidRPr="008159D0">
        <w:rPr>
          <w:b/>
        </w:rPr>
        <w:noBreakHyphen/>
        <w:t>19)</w:t>
      </w:r>
      <w:r w:rsidRPr="008159D0">
        <w:t xml:space="preserve"> accordingly: </w:t>
      </w:r>
    </w:p>
    <w:p w14:paraId="66E7BC02" w14:textId="77777777" w:rsidR="001C00A3" w:rsidRPr="008159D0" w:rsidRDefault="00000000" w:rsidP="00D16A23">
      <w:pPr>
        <w:pStyle w:val="TableNo"/>
      </w:pPr>
      <w:r w:rsidRPr="008159D0">
        <w:t>Table 2</w:t>
      </w:r>
    </w:p>
    <w:p w14:paraId="63247CC1" w14:textId="77777777" w:rsidR="001C00A3" w:rsidRPr="008159D0" w:rsidRDefault="00000000" w:rsidP="00D16A23">
      <w:pPr>
        <w:pStyle w:val="Tabletitle"/>
      </w:pPr>
      <w:r w:rsidRPr="008159D0">
        <w:t>RAS frequency bands to be studied and corresponding active services to be included</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2121"/>
        <w:gridCol w:w="4393"/>
      </w:tblGrid>
      <w:tr w:rsidR="004F6905" w:rsidRPr="008159D0" w14:paraId="73409842" w14:textId="77777777" w:rsidTr="004F6905">
        <w:trPr>
          <w:trHeight w:val="276"/>
          <w:jc w:val="center"/>
        </w:trPr>
        <w:tc>
          <w:tcPr>
            <w:tcW w:w="1351" w:type="pct"/>
          </w:tcPr>
          <w:p w14:paraId="09D2E4C3" w14:textId="77777777" w:rsidR="004F6905" w:rsidRPr="008159D0" w:rsidRDefault="004F6905" w:rsidP="004F6905">
            <w:pPr>
              <w:pStyle w:val="Tablehead"/>
            </w:pPr>
            <w:r w:rsidRPr="008159D0">
              <w:t>Radio astronomy frequency band</w:t>
            </w:r>
          </w:p>
        </w:tc>
        <w:tc>
          <w:tcPr>
            <w:tcW w:w="1188" w:type="pct"/>
          </w:tcPr>
          <w:p w14:paraId="7A9ECED9" w14:textId="791A9F6C" w:rsidR="004F6905" w:rsidRPr="008159D0" w:rsidRDefault="004F6905" w:rsidP="004F6905">
            <w:pPr>
              <w:pStyle w:val="Tablehead"/>
            </w:pPr>
            <w:r w:rsidRPr="008159D0">
              <w:t xml:space="preserve">Active </w:t>
            </w:r>
            <w:r w:rsidRPr="00F918DD">
              <w:t>satellite</w:t>
            </w:r>
            <w:r w:rsidRPr="008159D0">
              <w:t xml:space="preserve"> service frequency band</w:t>
            </w:r>
          </w:p>
        </w:tc>
        <w:tc>
          <w:tcPr>
            <w:tcW w:w="2461" w:type="pct"/>
          </w:tcPr>
          <w:p w14:paraId="39725C02" w14:textId="0D62F267" w:rsidR="004F6905" w:rsidRPr="008159D0" w:rsidRDefault="004F6905" w:rsidP="004F6905">
            <w:pPr>
              <w:pStyle w:val="Tablehead"/>
            </w:pPr>
            <w:r w:rsidRPr="008159D0">
              <w:t xml:space="preserve">Active </w:t>
            </w:r>
            <w:r w:rsidRPr="00F918DD">
              <w:t>satellite</w:t>
            </w:r>
            <w:r w:rsidRPr="008159D0">
              <w:t xml:space="preserve"> service </w:t>
            </w:r>
            <w:r w:rsidRPr="008159D0">
              <w:br/>
              <w:t>(space-to-Earth)</w:t>
            </w:r>
          </w:p>
        </w:tc>
      </w:tr>
      <w:tr w:rsidR="00D16A23" w:rsidRPr="008159D0" w14:paraId="39F1120D" w14:textId="77777777" w:rsidTr="004F6905">
        <w:trPr>
          <w:trHeight w:val="276"/>
          <w:jc w:val="center"/>
        </w:trPr>
        <w:tc>
          <w:tcPr>
            <w:tcW w:w="1351" w:type="pct"/>
            <w:shd w:val="clear" w:color="auto" w:fill="auto"/>
          </w:tcPr>
          <w:p w14:paraId="101E0C86" w14:textId="77777777" w:rsidR="001C00A3" w:rsidRPr="008159D0" w:rsidRDefault="00000000" w:rsidP="00C40625">
            <w:pPr>
              <w:pStyle w:val="Tabletext"/>
            </w:pPr>
            <w:r w:rsidRPr="008159D0">
              <w:t>76-81 GHz</w:t>
            </w:r>
          </w:p>
        </w:tc>
        <w:tc>
          <w:tcPr>
            <w:tcW w:w="1188" w:type="pct"/>
            <w:shd w:val="clear" w:color="auto" w:fill="auto"/>
          </w:tcPr>
          <w:p w14:paraId="6BD31D8F" w14:textId="77777777" w:rsidR="001C00A3" w:rsidRPr="008159D0" w:rsidRDefault="00000000" w:rsidP="00C40625">
            <w:pPr>
              <w:pStyle w:val="Tabletext"/>
            </w:pPr>
            <w:r w:rsidRPr="008159D0">
              <w:t>71-76 GHz</w:t>
            </w:r>
          </w:p>
        </w:tc>
        <w:tc>
          <w:tcPr>
            <w:tcW w:w="2461" w:type="pct"/>
            <w:shd w:val="clear" w:color="auto" w:fill="auto"/>
          </w:tcPr>
          <w:p w14:paraId="1D21EF96" w14:textId="77777777" w:rsidR="001C00A3" w:rsidRPr="008159D0" w:rsidRDefault="00000000" w:rsidP="00C40625">
            <w:pPr>
              <w:pStyle w:val="Tabletext"/>
            </w:pPr>
            <w:r w:rsidRPr="008159D0">
              <w:t>Fixed-satellite service (FSS), mobile-satellite service (MSS), broadcasting-satellite service (BSS)</w:t>
            </w:r>
          </w:p>
        </w:tc>
      </w:tr>
      <w:tr w:rsidR="00D16A23" w:rsidRPr="008159D0" w14:paraId="27BC912C" w14:textId="77777777" w:rsidTr="004F6905">
        <w:trPr>
          <w:trHeight w:val="276"/>
          <w:jc w:val="center"/>
        </w:trPr>
        <w:tc>
          <w:tcPr>
            <w:tcW w:w="1351" w:type="pct"/>
            <w:shd w:val="clear" w:color="auto" w:fill="auto"/>
          </w:tcPr>
          <w:p w14:paraId="704E5E47" w14:textId="77777777" w:rsidR="001C00A3" w:rsidRPr="008159D0" w:rsidRDefault="00000000" w:rsidP="00C40625">
            <w:pPr>
              <w:pStyle w:val="Tabletext"/>
            </w:pPr>
            <w:r w:rsidRPr="008159D0">
              <w:t>130-134 GHz</w:t>
            </w:r>
          </w:p>
        </w:tc>
        <w:tc>
          <w:tcPr>
            <w:tcW w:w="1188" w:type="pct"/>
            <w:shd w:val="clear" w:color="auto" w:fill="auto"/>
          </w:tcPr>
          <w:p w14:paraId="0983B6AB" w14:textId="77777777" w:rsidR="001C00A3" w:rsidRPr="008159D0" w:rsidRDefault="00000000" w:rsidP="00C40625">
            <w:pPr>
              <w:pStyle w:val="Tabletext"/>
            </w:pPr>
            <w:r w:rsidRPr="008159D0">
              <w:t>123-130 GHz</w:t>
            </w:r>
          </w:p>
        </w:tc>
        <w:tc>
          <w:tcPr>
            <w:tcW w:w="2461" w:type="pct"/>
            <w:shd w:val="clear" w:color="auto" w:fill="auto"/>
          </w:tcPr>
          <w:p w14:paraId="1D036EC1" w14:textId="77777777" w:rsidR="001C00A3" w:rsidRPr="008159D0" w:rsidRDefault="00000000" w:rsidP="00C40625">
            <w:pPr>
              <w:pStyle w:val="Tabletext"/>
            </w:pPr>
            <w:r w:rsidRPr="008159D0">
              <w:t>FSS, MSS, radionavigation-satellite service (RNSS)</w:t>
            </w:r>
          </w:p>
        </w:tc>
      </w:tr>
      <w:tr w:rsidR="00D16A23" w:rsidRPr="008159D0" w14:paraId="10C88D35" w14:textId="77777777" w:rsidTr="004F6905">
        <w:trPr>
          <w:trHeight w:val="276"/>
          <w:jc w:val="center"/>
        </w:trPr>
        <w:tc>
          <w:tcPr>
            <w:tcW w:w="1351" w:type="pct"/>
            <w:shd w:val="clear" w:color="auto" w:fill="auto"/>
          </w:tcPr>
          <w:p w14:paraId="0819FB29" w14:textId="77777777" w:rsidR="001C00A3" w:rsidRPr="008159D0" w:rsidRDefault="00000000" w:rsidP="00C40625">
            <w:pPr>
              <w:pStyle w:val="Tabletext"/>
            </w:pPr>
            <w:r w:rsidRPr="008159D0">
              <w:t>164-167 GHz</w:t>
            </w:r>
          </w:p>
        </w:tc>
        <w:tc>
          <w:tcPr>
            <w:tcW w:w="1188" w:type="pct"/>
            <w:shd w:val="clear" w:color="auto" w:fill="auto"/>
          </w:tcPr>
          <w:p w14:paraId="67C513E2" w14:textId="77777777" w:rsidR="001C00A3" w:rsidRPr="008159D0" w:rsidRDefault="00000000" w:rsidP="00C40625">
            <w:pPr>
              <w:pStyle w:val="Tabletext"/>
            </w:pPr>
            <w:r w:rsidRPr="008159D0">
              <w:t>167-174.5 GHz</w:t>
            </w:r>
          </w:p>
        </w:tc>
        <w:tc>
          <w:tcPr>
            <w:tcW w:w="2461" w:type="pct"/>
            <w:shd w:val="clear" w:color="auto" w:fill="auto"/>
          </w:tcPr>
          <w:p w14:paraId="0E98A397" w14:textId="77777777" w:rsidR="001C00A3" w:rsidRPr="008159D0" w:rsidRDefault="00000000" w:rsidP="00C40625">
            <w:pPr>
              <w:pStyle w:val="Tabletext"/>
            </w:pPr>
            <w:r w:rsidRPr="008159D0">
              <w:t>FSS</w:t>
            </w:r>
          </w:p>
        </w:tc>
      </w:tr>
      <w:tr w:rsidR="00D16A23" w:rsidRPr="008159D0" w14:paraId="36F80A22" w14:textId="77777777" w:rsidTr="004F6905">
        <w:trPr>
          <w:trHeight w:val="276"/>
          <w:jc w:val="center"/>
        </w:trPr>
        <w:tc>
          <w:tcPr>
            <w:tcW w:w="1351" w:type="pct"/>
            <w:shd w:val="clear" w:color="auto" w:fill="auto"/>
          </w:tcPr>
          <w:p w14:paraId="78DDEA51" w14:textId="77777777" w:rsidR="001C00A3" w:rsidRPr="008159D0" w:rsidRDefault="00000000" w:rsidP="00C40625">
            <w:pPr>
              <w:pStyle w:val="Tabletext"/>
            </w:pPr>
            <w:r w:rsidRPr="008159D0">
              <w:t>226-231.5 GHz</w:t>
            </w:r>
          </w:p>
        </w:tc>
        <w:tc>
          <w:tcPr>
            <w:tcW w:w="1188" w:type="pct"/>
            <w:shd w:val="clear" w:color="auto" w:fill="auto"/>
          </w:tcPr>
          <w:p w14:paraId="74730AE0" w14:textId="77777777" w:rsidR="001C00A3" w:rsidRPr="008159D0" w:rsidRDefault="00000000" w:rsidP="00C40625">
            <w:pPr>
              <w:pStyle w:val="Tabletext"/>
            </w:pPr>
            <w:r w:rsidRPr="008159D0">
              <w:t>232-235 GHz</w:t>
            </w:r>
          </w:p>
        </w:tc>
        <w:tc>
          <w:tcPr>
            <w:tcW w:w="2461" w:type="pct"/>
            <w:shd w:val="clear" w:color="auto" w:fill="auto"/>
          </w:tcPr>
          <w:p w14:paraId="7C75317A" w14:textId="77777777" w:rsidR="001C00A3" w:rsidRPr="008159D0" w:rsidRDefault="00000000" w:rsidP="00C40625">
            <w:pPr>
              <w:pStyle w:val="Tabletext"/>
            </w:pPr>
            <w:r w:rsidRPr="008159D0">
              <w:t>FSS</w:t>
            </w:r>
          </w:p>
        </w:tc>
      </w:tr>
    </w:tbl>
    <w:p w14:paraId="4867DF86" w14:textId="77777777" w:rsidR="00C306D4" w:rsidRDefault="00C306D4">
      <w:pPr>
        <w:tabs>
          <w:tab w:val="clear" w:pos="1134"/>
          <w:tab w:val="clear" w:pos="1871"/>
          <w:tab w:val="clear" w:pos="2268"/>
        </w:tabs>
        <w:overflowPunct/>
        <w:autoSpaceDE/>
        <w:autoSpaceDN/>
        <w:adjustRightInd/>
        <w:spacing w:before="0"/>
        <w:textAlignment w:val="auto"/>
        <w:rPr>
          <w:sz w:val="20"/>
        </w:rPr>
      </w:pPr>
      <w:r>
        <w:br w:type="page"/>
      </w:r>
    </w:p>
    <w:p w14:paraId="59AF6193" w14:textId="77777777" w:rsidR="001C00A3" w:rsidRPr="008159D0" w:rsidRDefault="00000000" w:rsidP="00D16A23">
      <w:pPr>
        <w:pStyle w:val="Call"/>
      </w:pPr>
      <w:r w:rsidRPr="008159D0">
        <w:lastRenderedPageBreak/>
        <w:t>invites administrations</w:t>
      </w:r>
    </w:p>
    <w:p w14:paraId="383F224A" w14:textId="77777777" w:rsidR="001C00A3" w:rsidRPr="008159D0" w:rsidRDefault="00000000" w:rsidP="00D16A23">
      <w:r w:rsidRPr="008159D0">
        <w:t xml:space="preserve">to participate actively in the studies and </w:t>
      </w:r>
      <w:r w:rsidRPr="008159D0">
        <w:rPr>
          <w:szCs w:val="24"/>
        </w:rPr>
        <w:t xml:space="preserve">provide the technical and operational characteristics of the systems involved </w:t>
      </w:r>
      <w:r w:rsidRPr="008159D0">
        <w:t>by submitting contributions to the ITU Radiocommunication Sector,</w:t>
      </w:r>
    </w:p>
    <w:p w14:paraId="41438B39" w14:textId="3FF2B1AC" w:rsidR="008159D0" w:rsidRPr="008159D0" w:rsidRDefault="008159D0" w:rsidP="008159D0">
      <w:pPr>
        <w:pStyle w:val="Call"/>
        <w:rPr>
          <w:szCs w:val="24"/>
        </w:rPr>
      </w:pPr>
      <w:r w:rsidRPr="008159D0">
        <w:rPr>
          <w:szCs w:val="24"/>
        </w:rPr>
        <w:t xml:space="preserve">invites the 2027 world radiocommunication conference </w:t>
      </w:r>
    </w:p>
    <w:p w14:paraId="21D367A7" w14:textId="77777777" w:rsidR="001C00A3" w:rsidRPr="008159D0" w:rsidRDefault="00000000" w:rsidP="00D16A23">
      <w:r w:rsidRPr="008159D0">
        <w:t>1</w:t>
      </w:r>
      <w:r w:rsidRPr="008159D0">
        <w:tab/>
        <w:t>to determine, based on the results of studies, any required regulatory measures regarding the protection of the EESS (passive) in the frequency bands listed in Table 1 above from unwanted emissions of active services and update Resolution </w:t>
      </w:r>
      <w:r w:rsidRPr="008159D0">
        <w:rPr>
          <w:b/>
        </w:rPr>
        <w:t>750</w:t>
      </w:r>
      <w:r w:rsidRPr="008159D0">
        <w:t xml:space="preserve"> </w:t>
      </w:r>
      <w:r w:rsidRPr="008159D0">
        <w:rPr>
          <w:b/>
          <w:bCs/>
        </w:rPr>
        <w:t>(Rev.WRC</w:t>
      </w:r>
      <w:r w:rsidRPr="008159D0">
        <w:rPr>
          <w:b/>
          <w:bCs/>
        </w:rPr>
        <w:noBreakHyphen/>
        <w:t>19)</w:t>
      </w:r>
      <w:r w:rsidRPr="008159D0">
        <w:rPr>
          <w:bCs/>
        </w:rPr>
        <w:t xml:space="preserve"> </w:t>
      </w:r>
      <w:proofErr w:type="gramStart"/>
      <w:r w:rsidRPr="008159D0">
        <w:rPr>
          <w:bCs/>
        </w:rPr>
        <w:t>accordingly</w:t>
      </w:r>
      <w:r w:rsidRPr="008159D0">
        <w:t>;</w:t>
      </w:r>
      <w:proofErr w:type="gramEnd"/>
    </w:p>
    <w:p w14:paraId="463C2DC3" w14:textId="77777777" w:rsidR="001C00A3" w:rsidRPr="008159D0" w:rsidRDefault="00000000" w:rsidP="00D16A23">
      <w:r w:rsidRPr="008159D0">
        <w:t>2</w:t>
      </w:r>
      <w:r w:rsidRPr="008159D0">
        <w:tab/>
        <w:t>to determine, based on the results of studies, any required regulatory measures regarding the protection of the RAS in the frequency bands listed in Table 2 above and update Resolution </w:t>
      </w:r>
      <w:r w:rsidRPr="008159D0">
        <w:rPr>
          <w:b/>
        </w:rPr>
        <w:t>739</w:t>
      </w:r>
      <w:r w:rsidRPr="008159D0">
        <w:t xml:space="preserve"> </w:t>
      </w:r>
      <w:r w:rsidRPr="008159D0">
        <w:rPr>
          <w:b/>
          <w:bCs/>
        </w:rPr>
        <w:t>(Rev.WRC</w:t>
      </w:r>
      <w:r w:rsidRPr="008159D0">
        <w:rPr>
          <w:b/>
          <w:bCs/>
        </w:rPr>
        <w:noBreakHyphen/>
        <w:t xml:space="preserve">19) </w:t>
      </w:r>
      <w:r w:rsidRPr="008159D0">
        <w:rPr>
          <w:bCs/>
        </w:rPr>
        <w:t>accordingly</w:t>
      </w:r>
      <w:r w:rsidRPr="008159D0">
        <w:t>,</w:t>
      </w:r>
    </w:p>
    <w:p w14:paraId="0DB45F3F" w14:textId="77777777" w:rsidR="001C00A3" w:rsidRPr="008159D0" w:rsidRDefault="00000000" w:rsidP="00D16A23">
      <w:pPr>
        <w:pStyle w:val="Call"/>
      </w:pPr>
      <w:r w:rsidRPr="008159D0">
        <w:t>instructs the Secretary-General</w:t>
      </w:r>
    </w:p>
    <w:p w14:paraId="5BB69959" w14:textId="77777777" w:rsidR="001C00A3" w:rsidRPr="00671C85" w:rsidRDefault="00000000" w:rsidP="00D16A23">
      <w:r w:rsidRPr="008159D0">
        <w:t>to bring this Resolution to the attention of the international and regional organizations concerned.</w:t>
      </w:r>
    </w:p>
    <w:p w14:paraId="0725E4A5" w14:textId="77777777" w:rsidR="00FC4EDB" w:rsidRDefault="00FC4EDB">
      <w:pPr>
        <w:pStyle w:val="Reasons"/>
      </w:pPr>
    </w:p>
    <w:sectPr w:rsidR="00FC4EDB">
      <w:headerReference w:type="default" r:id="rId20"/>
      <w:footerReference w:type="even" r:id="rId21"/>
      <w:footerReference w:type="default" r:id="rId22"/>
      <w:pgSz w:w="11907" w:h="16840" w:code="9"/>
      <w:pgMar w:top="1418" w:right="1134" w:bottom="1418"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F4FF" w14:textId="77777777" w:rsidR="00A24C62" w:rsidRDefault="00A24C62">
      <w:r>
        <w:separator/>
      </w:r>
    </w:p>
  </w:endnote>
  <w:endnote w:type="continuationSeparator" w:id="0">
    <w:p w14:paraId="681C1994" w14:textId="77777777" w:rsidR="00A24C62" w:rsidRDefault="00A24C62">
      <w:r>
        <w:continuationSeparator/>
      </w:r>
    </w:p>
  </w:endnote>
  <w:endnote w:type="continuationNotice" w:id="1">
    <w:p w14:paraId="4E5ACD3F" w14:textId="77777777" w:rsidR="00A24C62" w:rsidRDefault="00A24C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73D2" w14:textId="77777777" w:rsidR="00E45D05" w:rsidRDefault="00E45D05">
    <w:pPr>
      <w:framePr w:wrap="around" w:vAnchor="text" w:hAnchor="margin" w:xAlign="right" w:y="1"/>
    </w:pPr>
    <w:r>
      <w:fldChar w:fldCharType="begin"/>
    </w:r>
    <w:r>
      <w:instrText xml:space="preserve">PAGE  </w:instrText>
    </w:r>
    <w:r>
      <w:fldChar w:fldCharType="end"/>
    </w:r>
  </w:p>
  <w:p w14:paraId="281426FE" w14:textId="777777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12E5E">
      <w:rPr>
        <w:noProof/>
      </w:rPr>
      <w:t>12.12.23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2A8F"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62E3" w14:textId="77777777" w:rsidR="00E45D05" w:rsidRDefault="00E45D05">
    <w:pPr>
      <w:framePr w:wrap="around" w:vAnchor="text" w:hAnchor="margin" w:xAlign="right" w:y="1"/>
    </w:pPr>
    <w:r>
      <w:fldChar w:fldCharType="begin"/>
    </w:r>
    <w:r>
      <w:instrText xml:space="preserve">PAGE  </w:instrText>
    </w:r>
    <w:r>
      <w:fldChar w:fldCharType="end"/>
    </w:r>
  </w:p>
  <w:p w14:paraId="6E7D91C7" w14:textId="777777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12E5E">
      <w:rPr>
        <w:noProof/>
      </w:rPr>
      <w:t>12.12.23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1AE2" w14:textId="22E811B4" w:rsidR="00E45D05" w:rsidRDefault="00E45D05" w:rsidP="009B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BF01" w14:textId="77777777" w:rsidR="00A24C62" w:rsidRDefault="00A24C62">
      <w:r>
        <w:rPr>
          <w:b/>
        </w:rPr>
        <w:t>_______________</w:t>
      </w:r>
    </w:p>
  </w:footnote>
  <w:footnote w:type="continuationSeparator" w:id="0">
    <w:p w14:paraId="379380C5" w14:textId="77777777" w:rsidR="00A24C62" w:rsidRDefault="00A24C62">
      <w:r>
        <w:continuationSeparator/>
      </w:r>
    </w:p>
  </w:footnote>
  <w:footnote w:type="continuationNotice" w:id="1">
    <w:p w14:paraId="4C99C290" w14:textId="77777777" w:rsidR="00A24C62" w:rsidRDefault="00A24C6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CE40" w14:textId="03999328" w:rsidR="00A066F1" w:rsidRPr="00A066F1" w:rsidRDefault="00A066F1" w:rsidP="00241FA2">
    <w:pPr>
      <w:pStyle w:val="Header"/>
    </w:pPr>
    <w:r>
      <w:fldChar w:fldCharType="begin"/>
    </w:r>
    <w:r>
      <w:instrText xml:space="preserve"> PAGE  \* MERGEFORMAT </w:instrText>
    </w:r>
    <w:r>
      <w:fldChar w:fldCharType="separate"/>
    </w:r>
    <w:r w:rsidR="009B1E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039354265">
    <w:abstractNumId w:val="0"/>
  </w:num>
  <w:num w:numId="2" w16cid:durableId="199788095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13A2"/>
    <w:rsid w:val="00022A29"/>
    <w:rsid w:val="000240AD"/>
    <w:rsid w:val="000355FD"/>
    <w:rsid w:val="00047112"/>
    <w:rsid w:val="00051E39"/>
    <w:rsid w:val="00067BA3"/>
    <w:rsid w:val="000705F2"/>
    <w:rsid w:val="00077239"/>
    <w:rsid w:val="0007795D"/>
    <w:rsid w:val="00086491"/>
    <w:rsid w:val="00091346"/>
    <w:rsid w:val="0009706C"/>
    <w:rsid w:val="000976B0"/>
    <w:rsid w:val="000A1FCE"/>
    <w:rsid w:val="000A2570"/>
    <w:rsid w:val="000C50CB"/>
    <w:rsid w:val="000D038A"/>
    <w:rsid w:val="000D154B"/>
    <w:rsid w:val="000D2DAF"/>
    <w:rsid w:val="000E463E"/>
    <w:rsid w:val="000F73FF"/>
    <w:rsid w:val="00111470"/>
    <w:rsid w:val="00114CF7"/>
    <w:rsid w:val="00116C7A"/>
    <w:rsid w:val="00123B68"/>
    <w:rsid w:val="00126F2E"/>
    <w:rsid w:val="00146F6F"/>
    <w:rsid w:val="00150395"/>
    <w:rsid w:val="00161F26"/>
    <w:rsid w:val="00187BD9"/>
    <w:rsid w:val="00190B55"/>
    <w:rsid w:val="001C37DA"/>
    <w:rsid w:val="001C3B5F"/>
    <w:rsid w:val="001D058F"/>
    <w:rsid w:val="002009EA"/>
    <w:rsid w:val="00202756"/>
    <w:rsid w:val="00202CA0"/>
    <w:rsid w:val="00216B6D"/>
    <w:rsid w:val="00222216"/>
    <w:rsid w:val="00225269"/>
    <w:rsid w:val="0022757F"/>
    <w:rsid w:val="00241FA2"/>
    <w:rsid w:val="00271316"/>
    <w:rsid w:val="002B349C"/>
    <w:rsid w:val="002D58BE"/>
    <w:rsid w:val="002F4747"/>
    <w:rsid w:val="00302605"/>
    <w:rsid w:val="00313657"/>
    <w:rsid w:val="00333A99"/>
    <w:rsid w:val="00337748"/>
    <w:rsid w:val="00345B87"/>
    <w:rsid w:val="00361B37"/>
    <w:rsid w:val="00377BD3"/>
    <w:rsid w:val="00384088"/>
    <w:rsid w:val="003852CE"/>
    <w:rsid w:val="0039169B"/>
    <w:rsid w:val="003A7F8C"/>
    <w:rsid w:val="003B2284"/>
    <w:rsid w:val="003B532E"/>
    <w:rsid w:val="003D0F8B"/>
    <w:rsid w:val="003E0DB6"/>
    <w:rsid w:val="003F5F6E"/>
    <w:rsid w:val="003F7EE1"/>
    <w:rsid w:val="00410431"/>
    <w:rsid w:val="0041348E"/>
    <w:rsid w:val="00420873"/>
    <w:rsid w:val="004371E7"/>
    <w:rsid w:val="00445671"/>
    <w:rsid w:val="00456895"/>
    <w:rsid w:val="004836D6"/>
    <w:rsid w:val="00492075"/>
    <w:rsid w:val="0049630B"/>
    <w:rsid w:val="004969AD"/>
    <w:rsid w:val="004A26C4"/>
    <w:rsid w:val="004B13CB"/>
    <w:rsid w:val="004D26EA"/>
    <w:rsid w:val="004D2BFB"/>
    <w:rsid w:val="004D5D5C"/>
    <w:rsid w:val="004F3DC0"/>
    <w:rsid w:val="004F6905"/>
    <w:rsid w:val="004F7F9B"/>
    <w:rsid w:val="0050139F"/>
    <w:rsid w:val="0055140B"/>
    <w:rsid w:val="0057159F"/>
    <w:rsid w:val="005861D7"/>
    <w:rsid w:val="005903A7"/>
    <w:rsid w:val="005964AB"/>
    <w:rsid w:val="005C099A"/>
    <w:rsid w:val="005C31A5"/>
    <w:rsid w:val="005E10C9"/>
    <w:rsid w:val="005E1A2B"/>
    <w:rsid w:val="005E290B"/>
    <w:rsid w:val="005E61DD"/>
    <w:rsid w:val="005F04D8"/>
    <w:rsid w:val="006023DF"/>
    <w:rsid w:val="00612E5E"/>
    <w:rsid w:val="00615426"/>
    <w:rsid w:val="00616219"/>
    <w:rsid w:val="00616612"/>
    <w:rsid w:val="006214E5"/>
    <w:rsid w:val="00645B7D"/>
    <w:rsid w:val="00657DE0"/>
    <w:rsid w:val="00665931"/>
    <w:rsid w:val="00685313"/>
    <w:rsid w:val="00692833"/>
    <w:rsid w:val="006A12D7"/>
    <w:rsid w:val="006A6E9B"/>
    <w:rsid w:val="006B7C2A"/>
    <w:rsid w:val="006C23DA"/>
    <w:rsid w:val="006D70B0"/>
    <w:rsid w:val="006E3D45"/>
    <w:rsid w:val="0070607A"/>
    <w:rsid w:val="007149F9"/>
    <w:rsid w:val="00723BC6"/>
    <w:rsid w:val="00733A30"/>
    <w:rsid w:val="00745AEE"/>
    <w:rsid w:val="0074767C"/>
    <w:rsid w:val="00750F10"/>
    <w:rsid w:val="007742CA"/>
    <w:rsid w:val="00781A8F"/>
    <w:rsid w:val="00790D70"/>
    <w:rsid w:val="007A6F1F"/>
    <w:rsid w:val="007B5DD6"/>
    <w:rsid w:val="007D5320"/>
    <w:rsid w:val="00800972"/>
    <w:rsid w:val="00804475"/>
    <w:rsid w:val="00811633"/>
    <w:rsid w:val="00814037"/>
    <w:rsid w:val="008159D0"/>
    <w:rsid w:val="00841216"/>
    <w:rsid w:val="00842AF0"/>
    <w:rsid w:val="00850F32"/>
    <w:rsid w:val="00853E90"/>
    <w:rsid w:val="0086171E"/>
    <w:rsid w:val="00864FE5"/>
    <w:rsid w:val="00872FC8"/>
    <w:rsid w:val="008845D0"/>
    <w:rsid w:val="00884D60"/>
    <w:rsid w:val="00896E56"/>
    <w:rsid w:val="008B43F2"/>
    <w:rsid w:val="008B6CFF"/>
    <w:rsid w:val="008E057C"/>
    <w:rsid w:val="00910B75"/>
    <w:rsid w:val="00911CEA"/>
    <w:rsid w:val="00921264"/>
    <w:rsid w:val="009274B4"/>
    <w:rsid w:val="00932C31"/>
    <w:rsid w:val="00934EA2"/>
    <w:rsid w:val="00944A5C"/>
    <w:rsid w:val="00952A66"/>
    <w:rsid w:val="00957F5A"/>
    <w:rsid w:val="00965A40"/>
    <w:rsid w:val="00975EAF"/>
    <w:rsid w:val="00987FA9"/>
    <w:rsid w:val="00990286"/>
    <w:rsid w:val="009A7D72"/>
    <w:rsid w:val="009B1EA1"/>
    <w:rsid w:val="009B6AE9"/>
    <w:rsid w:val="009B7C9A"/>
    <w:rsid w:val="009C56E5"/>
    <w:rsid w:val="009C7716"/>
    <w:rsid w:val="009E5FC8"/>
    <w:rsid w:val="009E687A"/>
    <w:rsid w:val="009F236F"/>
    <w:rsid w:val="00A066F1"/>
    <w:rsid w:val="00A141AF"/>
    <w:rsid w:val="00A14CD6"/>
    <w:rsid w:val="00A16D29"/>
    <w:rsid w:val="00A24C62"/>
    <w:rsid w:val="00A30305"/>
    <w:rsid w:val="00A31D2D"/>
    <w:rsid w:val="00A4600A"/>
    <w:rsid w:val="00A538A6"/>
    <w:rsid w:val="00A54C25"/>
    <w:rsid w:val="00A60507"/>
    <w:rsid w:val="00A710E7"/>
    <w:rsid w:val="00A7372E"/>
    <w:rsid w:val="00A8284C"/>
    <w:rsid w:val="00A93B85"/>
    <w:rsid w:val="00AA0B18"/>
    <w:rsid w:val="00AA3C65"/>
    <w:rsid w:val="00AA666F"/>
    <w:rsid w:val="00AA6B27"/>
    <w:rsid w:val="00AB222C"/>
    <w:rsid w:val="00AD7914"/>
    <w:rsid w:val="00AE514B"/>
    <w:rsid w:val="00AE7BF2"/>
    <w:rsid w:val="00AF7DDF"/>
    <w:rsid w:val="00B1614E"/>
    <w:rsid w:val="00B21381"/>
    <w:rsid w:val="00B37E28"/>
    <w:rsid w:val="00B40888"/>
    <w:rsid w:val="00B41AB6"/>
    <w:rsid w:val="00B639E9"/>
    <w:rsid w:val="00B803DB"/>
    <w:rsid w:val="00B817CD"/>
    <w:rsid w:val="00B81A7D"/>
    <w:rsid w:val="00B91EF7"/>
    <w:rsid w:val="00B94AD0"/>
    <w:rsid w:val="00B968D8"/>
    <w:rsid w:val="00BB3A95"/>
    <w:rsid w:val="00BC515D"/>
    <w:rsid w:val="00BC75DE"/>
    <w:rsid w:val="00BD6CCE"/>
    <w:rsid w:val="00C0018F"/>
    <w:rsid w:val="00C16A5A"/>
    <w:rsid w:val="00C20466"/>
    <w:rsid w:val="00C214ED"/>
    <w:rsid w:val="00C234E6"/>
    <w:rsid w:val="00C30686"/>
    <w:rsid w:val="00C306D4"/>
    <w:rsid w:val="00C324A8"/>
    <w:rsid w:val="00C33380"/>
    <w:rsid w:val="00C4094C"/>
    <w:rsid w:val="00C54517"/>
    <w:rsid w:val="00C56F70"/>
    <w:rsid w:val="00C57B91"/>
    <w:rsid w:val="00C64CD8"/>
    <w:rsid w:val="00C66116"/>
    <w:rsid w:val="00C75FF2"/>
    <w:rsid w:val="00C82695"/>
    <w:rsid w:val="00C85FB8"/>
    <w:rsid w:val="00C933F7"/>
    <w:rsid w:val="00C97C68"/>
    <w:rsid w:val="00CA1A47"/>
    <w:rsid w:val="00CA3DFC"/>
    <w:rsid w:val="00CB44E5"/>
    <w:rsid w:val="00CB74F7"/>
    <w:rsid w:val="00CC247A"/>
    <w:rsid w:val="00CE388F"/>
    <w:rsid w:val="00CE5163"/>
    <w:rsid w:val="00CE5E47"/>
    <w:rsid w:val="00CF020F"/>
    <w:rsid w:val="00CF2B5B"/>
    <w:rsid w:val="00D00C4D"/>
    <w:rsid w:val="00D14CE0"/>
    <w:rsid w:val="00D15743"/>
    <w:rsid w:val="00D15E30"/>
    <w:rsid w:val="00D255D4"/>
    <w:rsid w:val="00D26376"/>
    <w:rsid w:val="00D268B3"/>
    <w:rsid w:val="00D52FD6"/>
    <w:rsid w:val="00D54009"/>
    <w:rsid w:val="00D5651D"/>
    <w:rsid w:val="00D57A34"/>
    <w:rsid w:val="00D719D8"/>
    <w:rsid w:val="00D74898"/>
    <w:rsid w:val="00D801ED"/>
    <w:rsid w:val="00D82DC5"/>
    <w:rsid w:val="00D936BC"/>
    <w:rsid w:val="00D96530"/>
    <w:rsid w:val="00DA1CB1"/>
    <w:rsid w:val="00DB04F3"/>
    <w:rsid w:val="00DC5A17"/>
    <w:rsid w:val="00DD3C52"/>
    <w:rsid w:val="00DD44AF"/>
    <w:rsid w:val="00DE2AC3"/>
    <w:rsid w:val="00DE5692"/>
    <w:rsid w:val="00DE5892"/>
    <w:rsid w:val="00DE6300"/>
    <w:rsid w:val="00DF4BC6"/>
    <w:rsid w:val="00DF78E0"/>
    <w:rsid w:val="00E03C94"/>
    <w:rsid w:val="00E141F9"/>
    <w:rsid w:val="00E205BC"/>
    <w:rsid w:val="00E26226"/>
    <w:rsid w:val="00E45D05"/>
    <w:rsid w:val="00E55816"/>
    <w:rsid w:val="00E55AEF"/>
    <w:rsid w:val="00E976C1"/>
    <w:rsid w:val="00EA12E5"/>
    <w:rsid w:val="00EA12F4"/>
    <w:rsid w:val="00EB0812"/>
    <w:rsid w:val="00EB54B2"/>
    <w:rsid w:val="00EB55C6"/>
    <w:rsid w:val="00EB7D57"/>
    <w:rsid w:val="00EC7273"/>
    <w:rsid w:val="00EE76DC"/>
    <w:rsid w:val="00EF1932"/>
    <w:rsid w:val="00EF71B6"/>
    <w:rsid w:val="00F01B26"/>
    <w:rsid w:val="00F02766"/>
    <w:rsid w:val="00F05BD4"/>
    <w:rsid w:val="00F06473"/>
    <w:rsid w:val="00F320AA"/>
    <w:rsid w:val="00F328F9"/>
    <w:rsid w:val="00F333EE"/>
    <w:rsid w:val="00F6155B"/>
    <w:rsid w:val="00F65C19"/>
    <w:rsid w:val="00F822B0"/>
    <w:rsid w:val="00F90F4A"/>
    <w:rsid w:val="00F918DD"/>
    <w:rsid w:val="00FB5F11"/>
    <w:rsid w:val="00FC4EDB"/>
    <w:rsid w:val="00FC7B8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C4A7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styleId="ListParagraph">
    <w:name w:val="List Paragraph"/>
    <w:basedOn w:val="Normal"/>
    <w:uiPriority w:val="34"/>
    <w:qFormat/>
    <w:rsid w:val="00D375DB"/>
    <w:pPr>
      <w:ind w:left="720"/>
      <w:contextualSpacing/>
    </w:pPr>
  </w:style>
  <w:style w:type="character" w:customStyle="1" w:styleId="ui-provider">
    <w:name w:val="ui-provider"/>
    <w:basedOn w:val="DefaultParagraphFont"/>
    <w:rsid w:val="00716E15"/>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WRCedcom@itu.int" TargetMode="External"/><Relationship Id="rId2" Type="http://schemas.openxmlformats.org/officeDocument/2006/relationships/customXml" Target="../customXml/item2.xml"/><Relationship Id="rId16" Type="http://schemas.openxmlformats.org/officeDocument/2006/relationships/hyperlink" Target="http://www.itu.int/net4/proposals/WRC23//Detail/Index?idProposal=1053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tu.int/net4/proposals/WRC23//Detail/Index?idProposal=1053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net4/proposals/WRC23//Detail/Index?idProposal=10529"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7" ma:contentTypeDescription="Create a new document." ma:contentTypeScope="" ma:versionID="b37b80df2eda9f89c4a9def2c65c4fbc">
  <xsd:schema xmlns:xsd="http://www.w3.org/2001/XMLSchema" xmlns:xs="http://www.w3.org/2001/XMLSchema" xmlns:p="http://schemas.microsoft.com/office/2006/metadata/properties" xmlns:ns2="182c4cff-5844-4b4c-8c88-96909af4d9b9" targetNamespace="http://schemas.microsoft.com/office/2006/metadata/properties" ma:root="true" ma:fieldsID="17b3a1529dd8be65d6425587baf342e4"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PM_x0020_File_x0020_name" minOccurs="0"/>
                <xsd:element ref="ns2:DPM_x0020_Version" minOccurs="0"/>
                <xsd:element ref="ns2:DPM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1" nillable="true" ma:displayName="DPM File name" ma:internalName="DPM_x0020_File_x0020_name">
      <xsd:simpleType>
        <xsd:restriction base="dms:Text">
          <xsd:maxLength value="255"/>
        </xsd:restriction>
      </xsd:simpleType>
    </xsd:element>
    <xsd:element name="DPM_x0020_Version" ma:index="12" nillable="true" ma:displayName="DPM Version" ma:internalName="DPM_x0020_Version">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182c4cff-5844-4b4c-8c88-96909af4d9b9">R23-WRC23-C-0474!!MSW-E</DPM_x0020_File_x0020_name>
    <DPM_x0020_Author xmlns="182c4cff-5844-4b4c-8c88-96909af4d9b9">DPM</DPM_x0020_Author>
    <DPM_x0020_Version xmlns="182c4cff-5844-4b4c-8c88-96909af4d9b9">DPM_2022.05.12.01</DPM_x0020_Version>
  </documentManagement>
</p:properties>
</file>

<file path=customXml/itemProps1.xml><?xml version="1.0" encoding="utf-8"?>
<ds:datastoreItem xmlns:ds="http://schemas.openxmlformats.org/officeDocument/2006/customXml" ds:itemID="{293BE9F3-F7C8-450A-8706-21EA597D909B}">
  <ds:schemaRefs>
    <ds:schemaRef ds:uri="http://schemas.microsoft.com/sharepoint/events"/>
  </ds:schemaRefs>
</ds:datastoreItem>
</file>

<file path=customXml/itemProps2.xml><?xml version="1.0" encoding="utf-8"?>
<ds:datastoreItem xmlns:ds="http://schemas.openxmlformats.org/officeDocument/2006/customXml" ds:itemID="{EFED7975-EC4C-417C-9E58-C8AC8D71CFC0}">
  <ds:schemaRefs>
    <ds:schemaRef ds:uri="http://schemas.openxmlformats.org/officeDocument/2006/bibliography"/>
  </ds:schemaRefs>
</ds:datastoreItem>
</file>

<file path=customXml/itemProps3.xml><?xml version="1.0" encoding="utf-8"?>
<ds:datastoreItem xmlns:ds="http://schemas.openxmlformats.org/officeDocument/2006/customXml" ds:itemID="{A6264BBE-D3A3-45B6-B46F-8B4627291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163E9-95A2-4669-931F-2B71F1AE9615}">
  <ds:schemaRefs>
    <ds:schemaRef ds:uri="http://schemas.microsoft.com/sharepoint/v3/contenttype/forms"/>
  </ds:schemaRefs>
</ds:datastoreItem>
</file>

<file path=customXml/itemProps5.xml><?xml version="1.0" encoding="utf-8"?>
<ds:datastoreItem xmlns:ds="http://schemas.openxmlformats.org/officeDocument/2006/customXml" ds:itemID="{E44959EB-3CFE-4E38-A8E1-A08887A14792}">
  <ds:schemaRefs>
    <ds:schemaRef ds:uri="http://schemas.microsoft.com/office/2006/metadata/properties"/>
    <ds:schemaRef ds:uri="http://schemas.microsoft.com/office/infopath/2007/PartnerControls"/>
    <ds:schemaRef ds:uri="182c4cff-5844-4b4c-8c88-96909af4d9b9"/>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24482</CharactersWithSpaces>
  <SharedDoc>false</SharedDoc>
  <HyperlinkBase/>
  <HLinks>
    <vt:vector size="24" baseType="variant">
      <vt:variant>
        <vt:i4>589862</vt:i4>
      </vt:variant>
      <vt:variant>
        <vt:i4>9</vt:i4>
      </vt:variant>
      <vt:variant>
        <vt:i4>0</vt:i4>
      </vt:variant>
      <vt:variant>
        <vt:i4>5</vt:i4>
      </vt:variant>
      <vt:variant>
        <vt:lpwstr>mailto:WRCedcom@itu.int</vt:lpwstr>
      </vt:variant>
      <vt:variant>
        <vt:lpwstr/>
      </vt:variant>
      <vt:variant>
        <vt:i4>7077931</vt:i4>
      </vt:variant>
      <vt:variant>
        <vt:i4>6</vt:i4>
      </vt:variant>
      <vt:variant>
        <vt:i4>0</vt:i4>
      </vt:variant>
      <vt:variant>
        <vt:i4>5</vt:i4>
      </vt:variant>
      <vt:variant>
        <vt:lpwstr>http://www.itu.int/net4/proposals/WRC23//Detail/Index?idProposal=10531</vt:lpwstr>
      </vt:variant>
      <vt:variant>
        <vt:lpwstr/>
      </vt:variant>
      <vt:variant>
        <vt:i4>7143467</vt:i4>
      </vt:variant>
      <vt:variant>
        <vt:i4>3</vt:i4>
      </vt:variant>
      <vt:variant>
        <vt:i4>0</vt:i4>
      </vt:variant>
      <vt:variant>
        <vt:i4>5</vt:i4>
      </vt:variant>
      <vt:variant>
        <vt:lpwstr>http://www.itu.int/net4/proposals/WRC23//Detail/Index?idProposal=10530</vt:lpwstr>
      </vt:variant>
      <vt:variant>
        <vt:lpwstr/>
      </vt:variant>
      <vt:variant>
        <vt:i4>6553642</vt:i4>
      </vt:variant>
      <vt:variant>
        <vt:i4>0</vt:i4>
      </vt:variant>
      <vt:variant>
        <vt:i4>0</vt:i4>
      </vt:variant>
      <vt:variant>
        <vt:i4>5</vt:i4>
      </vt:variant>
      <vt:variant>
        <vt:lpwstr>http://www.itu.int/net4/proposals/WRC23//Detail/Index?idProposal=10529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R23-WRC23-C-0474!!MSW-E</dc:title>
  <dc:subject>World Radiocommunication Conference - 2023</dc:subject>
  <dc:creator>Documents Proposals Manager (DPM)</dc:creator>
  <cp:keywords>DPM_v2023.12.4.1_prod</cp:keywords>
  <dc:description>Uploaded on 2015.07.06</dc:description>
  <cp:lastModifiedBy>TPU E VL</cp:lastModifiedBy>
  <cp:revision>81</cp:revision>
  <cp:lastPrinted>2017-02-10T08:23:00Z</cp:lastPrinted>
  <dcterms:created xsi:type="dcterms:W3CDTF">2023-12-12T09:59:00Z</dcterms:created>
  <dcterms:modified xsi:type="dcterms:W3CDTF">2023-12-12T12:28:00Z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_dlc_DocIdItemGuid">
    <vt:lpwstr>e3f51d54-8436-4404-bce8-bbffce89a1d7</vt:lpwstr>
  </property>
  <property fmtid="{D5CDD505-2E9C-101B-9397-08002B2CF9AE}" pid="10" name="ContentTypeId">
    <vt:lpwstr>0x010100EE71E44D3260374C8AB15791486AF672</vt:lpwstr>
  </property>
</Properties>
</file>