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493"/>
        <w:gridCol w:w="1169"/>
        <w:gridCol w:w="1951"/>
      </w:tblGrid>
      <w:tr w:rsidR="00F320AA" w:rsidRPr="006545EA" w14:paraId="368C63B6" w14:textId="77777777" w:rsidTr="00F320AA">
        <w:trPr>
          <w:cantSplit/>
        </w:trPr>
        <w:tc>
          <w:tcPr>
            <w:tcW w:w="1418" w:type="dxa"/>
            <w:vAlign w:val="center"/>
          </w:tcPr>
          <w:p w14:paraId="15C1706D" w14:textId="77777777" w:rsidR="00F320AA" w:rsidRPr="006545EA" w:rsidRDefault="00F320AA" w:rsidP="00F320AA">
            <w:pPr>
              <w:spacing w:before="0"/>
              <w:rPr>
                <w:rFonts w:ascii="Verdana" w:hAnsi="Verdana"/>
                <w:position w:val="6"/>
              </w:rPr>
            </w:pPr>
            <w:r w:rsidRPr="006545EA">
              <w:rPr>
                <w:noProof/>
              </w:rPr>
              <w:drawing>
                <wp:inline distT="0" distB="0" distL="0" distR="0" wp14:anchorId="49CB3311" wp14:editId="1372DE08">
                  <wp:extent cx="712470" cy="785495"/>
                  <wp:effectExtent l="0" t="0" r="0" b="0"/>
                  <wp:docPr id="4" name="Picture 4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gridSpan w:val="2"/>
          </w:tcPr>
          <w:p w14:paraId="3902D1CD" w14:textId="77777777" w:rsidR="00F320AA" w:rsidRPr="006545EA" w:rsidRDefault="00F320AA" w:rsidP="00F320A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6545EA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(WRC-23)</w:t>
            </w:r>
            <w:r w:rsidRPr="006545EA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Pr="006545EA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Dubai, 20 November - 15 December 2023</w:t>
            </w:r>
          </w:p>
        </w:tc>
        <w:tc>
          <w:tcPr>
            <w:tcW w:w="1951" w:type="dxa"/>
            <w:vAlign w:val="center"/>
          </w:tcPr>
          <w:p w14:paraId="3C3774E6" w14:textId="77777777" w:rsidR="00F320AA" w:rsidRPr="006545EA" w:rsidRDefault="00EB0812" w:rsidP="00F320AA">
            <w:pPr>
              <w:spacing w:before="0" w:line="240" w:lineRule="atLeast"/>
            </w:pPr>
            <w:r w:rsidRPr="006545EA">
              <w:rPr>
                <w:noProof/>
              </w:rPr>
              <w:drawing>
                <wp:inline distT="0" distB="0" distL="0" distR="0" wp14:anchorId="38BC9DFE" wp14:editId="3705DEE2">
                  <wp:extent cx="1007778" cy="100777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481" cy="1014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545EA" w14:paraId="16877EB9" w14:textId="77777777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14:paraId="42DA13E2" w14:textId="77777777" w:rsidR="00A066F1" w:rsidRPr="006545EA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</w:tcPr>
          <w:p w14:paraId="4339ABFA" w14:textId="77777777" w:rsidR="00A066F1" w:rsidRPr="006545EA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6545EA" w14:paraId="21446AA9" w14:textId="77777777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67153E12" w14:textId="77777777" w:rsidR="00A066F1" w:rsidRPr="006545EA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34FB2197" w14:textId="77777777" w:rsidR="00A066F1" w:rsidRPr="006545EA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6545EA" w14:paraId="3BDE1ECC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58BC8FD6" w14:textId="77777777" w:rsidR="00A066F1" w:rsidRPr="006545EA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6545EA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gridSpan w:val="2"/>
          </w:tcPr>
          <w:p w14:paraId="54E6F8A8" w14:textId="2A5E4F2E" w:rsidR="00A066F1" w:rsidRPr="006545EA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6545EA">
              <w:rPr>
                <w:rFonts w:ascii="Verdana" w:hAnsi="Verdana"/>
                <w:b/>
                <w:sz w:val="20"/>
              </w:rPr>
              <w:t xml:space="preserve">Document </w:t>
            </w:r>
            <w:r w:rsidR="00B956F6">
              <w:rPr>
                <w:rFonts w:ascii="Verdana" w:hAnsi="Verdana"/>
                <w:b/>
                <w:sz w:val="20"/>
              </w:rPr>
              <w:t>XXX</w:t>
            </w:r>
          </w:p>
        </w:tc>
      </w:tr>
      <w:tr w:rsidR="00A066F1" w:rsidRPr="006545EA" w14:paraId="6C22BDC0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535042D0" w14:textId="77777777" w:rsidR="00A066F1" w:rsidRPr="006545EA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  <w:gridSpan w:val="2"/>
          </w:tcPr>
          <w:p w14:paraId="49200313" w14:textId="529291E1" w:rsidR="00A066F1" w:rsidRPr="006545EA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</w:p>
        </w:tc>
      </w:tr>
      <w:tr w:rsidR="00A066F1" w:rsidRPr="006545EA" w14:paraId="40653B9C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0BD66464" w14:textId="77777777" w:rsidR="00A066F1" w:rsidRPr="006545EA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  <w:gridSpan w:val="2"/>
          </w:tcPr>
          <w:p w14:paraId="3AD60AB3" w14:textId="77777777" w:rsidR="00A066F1" w:rsidRPr="006545EA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6545EA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6545EA" w14:paraId="298B1148" w14:textId="77777777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06ACAD90" w14:textId="77777777" w:rsidR="00A066F1" w:rsidRPr="006545EA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6545EA" w14:paraId="690CCE1B" w14:textId="77777777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5722B1D3" w14:textId="189B72B8" w:rsidR="00E55816" w:rsidRPr="006545EA" w:rsidRDefault="00191778" w:rsidP="00E55816">
            <w:pPr>
              <w:pStyle w:val="Source"/>
            </w:pPr>
            <w:r>
              <w:t>D</w:t>
            </w:r>
            <w:r w:rsidR="00A811AE">
              <w:t>G 5B3</w:t>
            </w:r>
            <w:r>
              <w:t>b</w:t>
            </w:r>
          </w:p>
        </w:tc>
      </w:tr>
      <w:tr w:rsidR="00E55816" w:rsidRPr="006545EA" w14:paraId="174D343C" w14:textId="77777777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2B4BD593" w14:textId="77777777" w:rsidR="00E55816" w:rsidRPr="006545EA" w:rsidRDefault="007D5320" w:rsidP="00E55816">
            <w:pPr>
              <w:pStyle w:val="Title1"/>
            </w:pPr>
            <w:r w:rsidRPr="006545EA">
              <w:t>PROPOSALS FOR THE WORK OF THE CONFERENCE</w:t>
            </w:r>
          </w:p>
        </w:tc>
      </w:tr>
      <w:tr w:rsidR="00E55816" w:rsidRPr="006545EA" w14:paraId="4037FC00" w14:textId="77777777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07D98E62" w14:textId="77777777" w:rsidR="00E55816" w:rsidRPr="006545EA" w:rsidRDefault="00E55816" w:rsidP="00E55816">
            <w:pPr>
              <w:pStyle w:val="Title2"/>
            </w:pPr>
          </w:p>
        </w:tc>
      </w:tr>
      <w:tr w:rsidR="00A538A6" w:rsidRPr="006545EA" w14:paraId="1B510351" w14:textId="77777777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3ECB60E5" w14:textId="77777777" w:rsidR="00A538A6" w:rsidRPr="006545EA" w:rsidRDefault="004B13CB" w:rsidP="004B13CB">
            <w:pPr>
              <w:pStyle w:val="Agendaitem"/>
              <w:rPr>
                <w:lang w:val="en-GB"/>
              </w:rPr>
            </w:pPr>
            <w:r w:rsidRPr="006545EA">
              <w:rPr>
                <w:lang w:val="en-GB"/>
              </w:rPr>
              <w:t>Agenda item 1.17</w:t>
            </w:r>
          </w:p>
        </w:tc>
      </w:tr>
    </w:tbl>
    <w:bookmarkEnd w:id="5"/>
    <w:bookmarkEnd w:id="6"/>
    <w:p w14:paraId="0DF8F0E7" w14:textId="319539B3" w:rsidR="00187BD9" w:rsidRPr="006545EA" w:rsidRDefault="009E6819">
      <w:r w:rsidRPr="006545EA">
        <w:t>1.17</w:t>
      </w:r>
      <w:r w:rsidRPr="006545EA">
        <w:tab/>
        <w:t xml:space="preserve">to determine and carry out, </w:t>
      </w:r>
      <w:proofErr w:type="gramStart"/>
      <w:r w:rsidRPr="006545EA">
        <w:t>on the basis of</w:t>
      </w:r>
      <w:proofErr w:type="gramEnd"/>
      <w:r w:rsidRPr="006545EA">
        <w:t xml:space="preserve"> ITU</w:t>
      </w:r>
      <w:r w:rsidRPr="006545EA">
        <w:noBreakHyphen/>
        <w:t>R studies in</w:t>
      </w:r>
      <w:r w:rsidRPr="006545EA">
        <w:rPr>
          <w:spacing w:val="-8"/>
        </w:rPr>
        <w:t xml:space="preserve"> </w:t>
      </w:r>
      <w:r w:rsidRPr="006545EA">
        <w:t>accordance</w:t>
      </w:r>
      <w:r w:rsidRPr="006545EA">
        <w:rPr>
          <w:spacing w:val="-2"/>
        </w:rPr>
        <w:t xml:space="preserve"> </w:t>
      </w:r>
      <w:r w:rsidRPr="006545EA">
        <w:t>with Resolution </w:t>
      </w:r>
      <w:r w:rsidRPr="006545EA">
        <w:rPr>
          <w:b/>
        </w:rPr>
        <w:t>773 (WRC</w:t>
      </w:r>
      <w:r w:rsidRPr="006545EA">
        <w:rPr>
          <w:b/>
        </w:rPr>
        <w:noBreakHyphen/>
        <w:t>19)</w:t>
      </w:r>
      <w:r w:rsidRPr="006545EA">
        <w:t xml:space="preserve">, the appropriate regulatory actions for the provision of inter-satellite links in specific frequency bands, or portions thereof, by adding an inter-satellite service allocation where </w:t>
      </w:r>
      <w:r w:rsidR="00A811AE" w:rsidRPr="006545EA">
        <w:t>appropriate.</w:t>
      </w:r>
    </w:p>
    <w:p w14:paraId="37CD7D7C" w14:textId="77777777" w:rsidR="00C51450" w:rsidRDefault="00C51450" w:rsidP="00484432">
      <w:pPr>
        <w:pStyle w:val="Headingb"/>
        <w:rPr>
          <w:lang w:val="en-GB"/>
        </w:rPr>
      </w:pPr>
    </w:p>
    <w:p w14:paraId="2AFAD11B" w14:textId="20A263AB" w:rsidR="00D94A12" w:rsidRPr="00D94A12" w:rsidRDefault="00D94A12" w:rsidP="00D94A12">
      <w:r>
        <w:t xml:space="preserve">Text highlighted in </w:t>
      </w:r>
      <w:r w:rsidRPr="00D94A12">
        <w:rPr>
          <w:highlight w:val="yellow"/>
        </w:rPr>
        <w:t>yellow</w:t>
      </w:r>
      <w:r>
        <w:t xml:space="preserve"> are </w:t>
      </w:r>
      <w:r w:rsidR="008D3450">
        <w:t>section of the regulatory text for which</w:t>
      </w:r>
      <w:r w:rsidR="00797C64">
        <w:t xml:space="preserve"> several proposals were sent to the meeting</w:t>
      </w:r>
      <w:r w:rsidR="00657B57">
        <w:t>.</w:t>
      </w:r>
      <w:r w:rsidR="008D3450">
        <w:t xml:space="preserve"> </w:t>
      </w:r>
    </w:p>
    <w:p w14:paraId="6940291E" w14:textId="0017B3D3" w:rsidR="00C51450" w:rsidRDefault="00C51450" w:rsidP="00C51450">
      <w:r>
        <w:t xml:space="preserve">Text highlighted in </w:t>
      </w:r>
      <w:r w:rsidRPr="00C51450">
        <w:rPr>
          <w:highlight w:val="cyan"/>
        </w:rPr>
        <w:t>blue</w:t>
      </w:r>
      <w:r>
        <w:t xml:space="preserve"> are </w:t>
      </w:r>
      <w:r w:rsidR="00CF785B">
        <w:t xml:space="preserve">comments made by the chairman </w:t>
      </w:r>
      <w:r w:rsidR="006941CF">
        <w:t xml:space="preserve">of the SWG 5B3 </w:t>
      </w:r>
      <w:r w:rsidR="00CF785B">
        <w:t xml:space="preserve">to assess </w:t>
      </w:r>
      <w:r w:rsidR="00E10F44">
        <w:t>the support of each Alternative/Option</w:t>
      </w:r>
      <w:r w:rsidR="004C53AF">
        <w:t xml:space="preserve">. The blue text will be deleted as soon </w:t>
      </w:r>
      <w:r w:rsidR="002E654A">
        <w:t xml:space="preserve">an agreement </w:t>
      </w:r>
      <w:r w:rsidR="00D94A12">
        <w:t>will be found for the specific Alternative/Option.</w:t>
      </w:r>
    </w:p>
    <w:p w14:paraId="1B18DC61" w14:textId="5BC0897A" w:rsidR="00CF785B" w:rsidRDefault="00020968" w:rsidP="00C51450">
      <w:r>
        <w:t>The proposed text</w:t>
      </w:r>
      <w:r w:rsidR="0058765A">
        <w:t xml:space="preserve"> is the compilation of </w:t>
      </w:r>
      <w:r w:rsidR="00167B38">
        <w:t xml:space="preserve">specific </w:t>
      </w:r>
      <w:r w:rsidR="00290B21">
        <w:t>proposals</w:t>
      </w:r>
      <w:r w:rsidR="0058765A">
        <w:t xml:space="preserve"> received </w:t>
      </w:r>
      <w:r w:rsidR="00290B21">
        <w:t xml:space="preserve">on Annex 4 </w:t>
      </w:r>
      <w:r w:rsidR="0058765A">
        <w:t>by CITEL (Doc 44 Add 17),</w:t>
      </w:r>
      <w:r w:rsidR="00824CAF">
        <w:t xml:space="preserve"> APT (Doc 62 ADD 17), CEPT (Doc 65 ADD 17), ATU (Doc </w:t>
      </w:r>
      <w:r w:rsidR="00DB0A19">
        <w:t xml:space="preserve">87 ADD 17), ASMG (Doc 100 ADD 17), </w:t>
      </w:r>
      <w:r w:rsidR="00265D3B">
        <w:t>INS (Doc 117 ADD 17),</w:t>
      </w:r>
      <w:r w:rsidR="00395D0C">
        <w:t xml:space="preserve"> THA (</w:t>
      </w:r>
      <w:r w:rsidR="002D48DF">
        <w:t>Doc 149</w:t>
      </w:r>
      <w:r w:rsidR="00996A7C">
        <w:t xml:space="preserve"> ADD 17</w:t>
      </w:r>
      <w:r w:rsidR="00395D0C">
        <w:t>),</w:t>
      </w:r>
      <w:r w:rsidR="00265D3B">
        <w:t xml:space="preserve"> SLM/TON (Doc 125), </w:t>
      </w:r>
      <w:r w:rsidR="00D6250D">
        <w:t>and KOR (Doc 153 ADD 17).</w:t>
      </w:r>
    </w:p>
    <w:p w14:paraId="2AC1CC9A" w14:textId="7E810C9A" w:rsidR="00484432" w:rsidRPr="006545EA" w:rsidRDefault="00484432" w:rsidP="00484432">
      <w:pPr>
        <w:pStyle w:val="Headingb"/>
        <w:rPr>
          <w:lang w:val="en-GB"/>
        </w:rPr>
      </w:pPr>
      <w:r w:rsidRPr="006545EA">
        <w:rPr>
          <w:lang w:val="en-GB"/>
        </w:rPr>
        <w:t>Proposals</w:t>
      </w:r>
    </w:p>
    <w:p w14:paraId="53446DDF" w14:textId="77777777" w:rsidR="00187BD9" w:rsidRPr="006545EA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6545EA">
        <w:br w:type="page"/>
      </w:r>
    </w:p>
    <w:p w14:paraId="3DA56DE2" w14:textId="77777777" w:rsidR="00DB3E2F" w:rsidRPr="006545EA" w:rsidRDefault="00DB3E2F" w:rsidP="00DB3E2F">
      <w:pPr>
        <w:pStyle w:val="AnnexNo"/>
        <w:rPr>
          <w:lang w:eastAsia="zh-CN"/>
        </w:rPr>
      </w:pPr>
      <w:r w:rsidRPr="006545EA">
        <w:rPr>
          <w:lang w:eastAsia="zh-CN"/>
        </w:rPr>
        <w:lastRenderedPageBreak/>
        <w:t>ANNEX 4 TO draft new RESOLUTION [A117-</w:t>
      </w:r>
      <w:r>
        <w:rPr>
          <w:lang w:eastAsia="zh-CN"/>
        </w:rPr>
        <w:t>SPACE-TO-SPACE</w:t>
      </w:r>
      <w:r w:rsidRPr="006545EA">
        <w:rPr>
          <w:lang w:eastAsia="zh-CN"/>
        </w:rPr>
        <w:t>]</w:t>
      </w:r>
      <w:r>
        <w:rPr>
          <w:lang w:eastAsia="zh-CN"/>
        </w:rPr>
        <w:t xml:space="preserve"> </w:t>
      </w:r>
      <w:r w:rsidRPr="006545EA">
        <w:rPr>
          <w:lang w:eastAsia="zh-CN"/>
        </w:rPr>
        <w:t>(WRC</w:t>
      </w:r>
      <w:r w:rsidRPr="006545EA">
        <w:rPr>
          <w:lang w:eastAsia="zh-CN"/>
        </w:rPr>
        <w:noBreakHyphen/>
        <w:t>23)</w:t>
      </w:r>
    </w:p>
    <w:p w14:paraId="0E7544A8" w14:textId="77777777" w:rsidR="00DB3E2F" w:rsidRPr="006545EA" w:rsidRDefault="00DB3E2F" w:rsidP="00DB3E2F">
      <w:pPr>
        <w:pStyle w:val="Annextitle"/>
        <w:rPr>
          <w:lang w:eastAsia="zh-CN"/>
        </w:rPr>
      </w:pPr>
      <w:r w:rsidRPr="006545EA">
        <w:rPr>
          <w:lang w:eastAsia="zh-CN"/>
        </w:rPr>
        <w:t xml:space="preserve">Provisions for non-GSO inter-satellite links in the </w:t>
      </w:r>
      <w:r w:rsidRPr="006545EA">
        <w:t xml:space="preserve">frequency band </w:t>
      </w:r>
      <w:r w:rsidRPr="006545EA">
        <w:rPr>
          <w:lang w:eastAsia="zh-CN"/>
        </w:rPr>
        <w:t xml:space="preserve">27.5-30.0 GHz to protect non-GSO space </w:t>
      </w:r>
      <w:proofErr w:type="gramStart"/>
      <w:r w:rsidRPr="006545EA">
        <w:rPr>
          <w:lang w:eastAsia="zh-CN"/>
        </w:rPr>
        <w:t>stations</w:t>
      </w:r>
      <w:proofErr w:type="gramEnd"/>
    </w:p>
    <w:p w14:paraId="7149F79C" w14:textId="77777777" w:rsidR="00891DBC" w:rsidRPr="000A253B" w:rsidRDefault="00891DBC" w:rsidP="00891DB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i/>
          <w:iCs/>
          <w:highlight w:val="cyan"/>
        </w:rPr>
      </w:pPr>
      <w:r w:rsidRPr="000A253B">
        <w:rPr>
          <w:i/>
          <w:iCs/>
          <w:highlight w:val="cyan"/>
        </w:rPr>
        <w:t>[Editor’s Note: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83"/>
        <w:gridCol w:w="4375"/>
        <w:gridCol w:w="4376"/>
      </w:tblGrid>
      <w:tr w:rsidR="00891DBC" w:rsidRPr="00527032" w14:paraId="1FB11873" w14:textId="77777777" w:rsidTr="00B0417C">
        <w:tc>
          <w:tcPr>
            <w:tcW w:w="883" w:type="dxa"/>
            <w:vMerge w:val="restart"/>
            <w:shd w:val="clear" w:color="auto" w:fill="D9D9D9" w:themeFill="background1" w:themeFillShade="D9"/>
            <w:vAlign w:val="center"/>
          </w:tcPr>
          <w:p w14:paraId="3DACFD27" w14:textId="77777777" w:rsidR="00891DBC" w:rsidRDefault="00891DBC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Option</w:t>
            </w:r>
          </w:p>
        </w:tc>
        <w:tc>
          <w:tcPr>
            <w:tcW w:w="8751" w:type="dxa"/>
            <w:gridSpan w:val="2"/>
            <w:shd w:val="clear" w:color="auto" w:fill="D9D9D9" w:themeFill="background1" w:themeFillShade="D9"/>
            <w:vAlign w:val="center"/>
          </w:tcPr>
          <w:p w14:paraId="3078A726" w14:textId="77777777" w:rsidR="00891DBC" w:rsidRPr="00527032" w:rsidRDefault="00891DBC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Support</w:t>
            </w:r>
          </w:p>
        </w:tc>
      </w:tr>
      <w:tr w:rsidR="00891DBC" w:rsidRPr="00527032" w14:paraId="7CEB44C5" w14:textId="77777777" w:rsidTr="00B0417C">
        <w:tc>
          <w:tcPr>
            <w:tcW w:w="883" w:type="dxa"/>
            <w:vMerge/>
            <w:shd w:val="clear" w:color="auto" w:fill="D9D9D9" w:themeFill="background1" w:themeFillShade="D9"/>
            <w:vAlign w:val="center"/>
          </w:tcPr>
          <w:p w14:paraId="6803BDBB" w14:textId="77777777" w:rsidR="00891DBC" w:rsidRPr="00527032" w:rsidRDefault="00891DBC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</w:p>
        </w:tc>
        <w:tc>
          <w:tcPr>
            <w:tcW w:w="4375" w:type="dxa"/>
            <w:shd w:val="clear" w:color="auto" w:fill="D9D9D9" w:themeFill="background1" w:themeFillShade="D9"/>
            <w:vAlign w:val="center"/>
          </w:tcPr>
          <w:p w14:paraId="7292937C" w14:textId="77777777" w:rsidR="00891DBC" w:rsidRPr="00527032" w:rsidRDefault="00891DBC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 w:rsidRPr="00527032">
              <w:rPr>
                <w:i/>
                <w:iCs/>
                <w:highlight w:val="cyan"/>
              </w:rPr>
              <w:t>Region</w:t>
            </w:r>
            <w:r>
              <w:rPr>
                <w:i/>
                <w:iCs/>
                <w:highlight w:val="cyan"/>
              </w:rPr>
              <w:t xml:space="preserve"> </w:t>
            </w:r>
          </w:p>
        </w:tc>
        <w:tc>
          <w:tcPr>
            <w:tcW w:w="4376" w:type="dxa"/>
            <w:shd w:val="clear" w:color="auto" w:fill="D9D9D9" w:themeFill="background1" w:themeFillShade="D9"/>
            <w:vAlign w:val="center"/>
          </w:tcPr>
          <w:p w14:paraId="7C30F31B" w14:textId="77777777" w:rsidR="00891DBC" w:rsidRPr="00527032" w:rsidRDefault="00891DBC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 w:rsidRPr="00527032">
              <w:rPr>
                <w:i/>
                <w:iCs/>
                <w:highlight w:val="cyan"/>
              </w:rPr>
              <w:t>Administration</w:t>
            </w:r>
          </w:p>
        </w:tc>
      </w:tr>
      <w:tr w:rsidR="00891DBC" w:rsidRPr="0067729A" w14:paraId="7AEC2B21" w14:textId="77777777" w:rsidTr="00B0417C">
        <w:tc>
          <w:tcPr>
            <w:tcW w:w="883" w:type="dxa"/>
            <w:vAlign w:val="center"/>
          </w:tcPr>
          <w:p w14:paraId="68BA4468" w14:textId="7A3E360E" w:rsidR="00891DBC" w:rsidRPr="00527032" w:rsidRDefault="00891DBC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1</w:t>
            </w:r>
            <w:r w:rsidR="00B06F11">
              <w:rPr>
                <w:i/>
                <w:iCs/>
                <w:highlight w:val="cyan"/>
              </w:rPr>
              <w:t>6</w:t>
            </w:r>
            <w:r>
              <w:rPr>
                <w:i/>
                <w:iCs/>
                <w:highlight w:val="cyan"/>
              </w:rPr>
              <w:t>a</w:t>
            </w:r>
          </w:p>
        </w:tc>
        <w:tc>
          <w:tcPr>
            <w:tcW w:w="4375" w:type="dxa"/>
            <w:vAlign w:val="center"/>
          </w:tcPr>
          <w:p w14:paraId="4CDF39F3" w14:textId="77777777" w:rsidR="00891DBC" w:rsidRPr="00880E6D" w:rsidRDefault="00891DBC" w:rsidP="00B0417C">
            <w:pPr>
              <w:spacing w:before="0"/>
              <w:jc w:val="center"/>
              <w:rPr>
                <w:i/>
                <w:iCs/>
                <w:highlight w:val="cyan"/>
                <w:lang w:val="fr-FR"/>
              </w:rPr>
            </w:pPr>
            <w:r>
              <w:rPr>
                <w:i/>
                <w:iCs/>
                <w:highlight w:val="cyan"/>
                <w:lang w:val="fr-FR"/>
              </w:rPr>
              <w:t>CITEL</w:t>
            </w:r>
          </w:p>
        </w:tc>
        <w:tc>
          <w:tcPr>
            <w:tcW w:w="4376" w:type="dxa"/>
            <w:vAlign w:val="center"/>
          </w:tcPr>
          <w:p w14:paraId="2ABEF5E5" w14:textId="77777777" w:rsidR="00891DBC" w:rsidRPr="0067729A" w:rsidRDefault="00891DBC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</w:p>
        </w:tc>
      </w:tr>
      <w:tr w:rsidR="00965A60" w:rsidRPr="00FD5C80" w14:paraId="38BB1FFC" w14:textId="77777777" w:rsidTr="00B0417C">
        <w:tc>
          <w:tcPr>
            <w:tcW w:w="883" w:type="dxa"/>
            <w:vAlign w:val="center"/>
          </w:tcPr>
          <w:p w14:paraId="58B7B3F8" w14:textId="0EEFA0D0" w:rsidR="00965A60" w:rsidRDefault="00965A60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16b</w:t>
            </w:r>
          </w:p>
        </w:tc>
        <w:tc>
          <w:tcPr>
            <w:tcW w:w="4375" w:type="dxa"/>
            <w:vAlign w:val="center"/>
          </w:tcPr>
          <w:p w14:paraId="1A80101B" w14:textId="0CA94860" w:rsidR="00965A60" w:rsidRDefault="00965A60" w:rsidP="00B0417C">
            <w:pPr>
              <w:spacing w:before="0"/>
              <w:jc w:val="center"/>
              <w:rPr>
                <w:i/>
                <w:iCs/>
                <w:highlight w:val="cyan"/>
                <w:lang w:val="fr-FR"/>
              </w:rPr>
            </w:pPr>
            <w:r>
              <w:rPr>
                <w:i/>
                <w:iCs/>
                <w:highlight w:val="cyan"/>
                <w:lang w:val="fr-FR"/>
              </w:rPr>
              <w:t xml:space="preserve">APT, </w:t>
            </w:r>
            <w:r w:rsidR="006F73C2">
              <w:rPr>
                <w:i/>
                <w:iCs/>
                <w:highlight w:val="cyan"/>
                <w:lang w:val="fr-FR"/>
              </w:rPr>
              <w:t xml:space="preserve">ASMG, </w:t>
            </w:r>
            <w:r w:rsidR="007C69FD">
              <w:rPr>
                <w:i/>
                <w:iCs/>
                <w:highlight w:val="cyan"/>
                <w:lang w:val="fr-FR"/>
              </w:rPr>
              <w:t xml:space="preserve">ATU, </w:t>
            </w:r>
            <w:r>
              <w:rPr>
                <w:i/>
                <w:iCs/>
                <w:highlight w:val="cyan"/>
                <w:lang w:val="fr-FR"/>
              </w:rPr>
              <w:t>CITEL</w:t>
            </w:r>
          </w:p>
        </w:tc>
        <w:tc>
          <w:tcPr>
            <w:tcW w:w="4376" w:type="dxa"/>
            <w:vAlign w:val="center"/>
          </w:tcPr>
          <w:p w14:paraId="3DF69B93" w14:textId="09571B80" w:rsidR="00965A60" w:rsidRPr="008D5785" w:rsidRDefault="007F3139" w:rsidP="00B0417C">
            <w:pPr>
              <w:spacing w:before="0"/>
              <w:jc w:val="center"/>
              <w:rPr>
                <w:i/>
                <w:iCs/>
                <w:highlight w:val="cyan"/>
                <w:lang w:val="fr-FR"/>
              </w:rPr>
            </w:pPr>
            <w:r w:rsidRPr="008D5785">
              <w:rPr>
                <w:i/>
                <w:iCs/>
                <w:highlight w:val="cyan"/>
                <w:lang w:val="fr-FR"/>
              </w:rPr>
              <w:t>INS</w:t>
            </w:r>
            <w:r w:rsidR="000C76BA" w:rsidRPr="008D5785">
              <w:rPr>
                <w:i/>
                <w:iCs/>
                <w:highlight w:val="cyan"/>
                <w:lang w:val="fr-FR"/>
              </w:rPr>
              <w:t xml:space="preserve">, </w:t>
            </w:r>
            <w:r w:rsidR="008D5785" w:rsidRPr="008D5785">
              <w:rPr>
                <w:i/>
                <w:iCs/>
                <w:highlight w:val="cyan"/>
                <w:lang w:val="fr-FR"/>
              </w:rPr>
              <w:t xml:space="preserve">KOR, </w:t>
            </w:r>
            <w:r w:rsidR="000C76BA" w:rsidRPr="008D5785">
              <w:rPr>
                <w:i/>
                <w:iCs/>
                <w:highlight w:val="cyan"/>
                <w:lang w:val="fr-FR"/>
              </w:rPr>
              <w:t xml:space="preserve">SLM, </w:t>
            </w:r>
            <w:r w:rsidR="00044265" w:rsidRPr="008D5785">
              <w:rPr>
                <w:i/>
                <w:iCs/>
                <w:highlight w:val="cyan"/>
                <w:lang w:val="fr-FR"/>
              </w:rPr>
              <w:t xml:space="preserve">THA, </w:t>
            </w:r>
            <w:r w:rsidR="000C76BA" w:rsidRPr="008D5785">
              <w:rPr>
                <w:i/>
                <w:iCs/>
                <w:highlight w:val="cyan"/>
                <w:lang w:val="fr-FR"/>
              </w:rPr>
              <w:t>TON</w:t>
            </w:r>
          </w:p>
        </w:tc>
      </w:tr>
      <w:tr w:rsidR="00E40296" w:rsidRPr="0067729A" w14:paraId="007A5D34" w14:textId="77777777" w:rsidTr="00B0417C">
        <w:tc>
          <w:tcPr>
            <w:tcW w:w="883" w:type="dxa"/>
            <w:vAlign w:val="center"/>
          </w:tcPr>
          <w:p w14:paraId="44E2A296" w14:textId="2427EAFC" w:rsidR="00E40296" w:rsidRDefault="00E40296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16c</w:t>
            </w:r>
          </w:p>
        </w:tc>
        <w:tc>
          <w:tcPr>
            <w:tcW w:w="4375" w:type="dxa"/>
            <w:vAlign w:val="center"/>
          </w:tcPr>
          <w:p w14:paraId="45842198" w14:textId="781D1D9E" w:rsidR="00E40296" w:rsidRDefault="00E40296" w:rsidP="00B0417C">
            <w:pPr>
              <w:spacing w:before="0"/>
              <w:jc w:val="center"/>
              <w:rPr>
                <w:i/>
                <w:iCs/>
                <w:highlight w:val="cyan"/>
                <w:lang w:val="fr-FR"/>
              </w:rPr>
            </w:pPr>
            <w:r>
              <w:rPr>
                <w:i/>
                <w:iCs/>
                <w:highlight w:val="cyan"/>
                <w:lang w:val="fr-FR"/>
              </w:rPr>
              <w:t xml:space="preserve">APT, </w:t>
            </w:r>
            <w:r w:rsidR="006F73C2">
              <w:rPr>
                <w:i/>
                <w:iCs/>
                <w:highlight w:val="cyan"/>
                <w:lang w:val="fr-FR"/>
              </w:rPr>
              <w:t xml:space="preserve">ASMG, </w:t>
            </w:r>
            <w:r w:rsidR="00246A13">
              <w:rPr>
                <w:i/>
                <w:iCs/>
                <w:highlight w:val="cyan"/>
                <w:lang w:val="fr-FR"/>
              </w:rPr>
              <w:t xml:space="preserve">ATU, </w:t>
            </w:r>
            <w:r>
              <w:rPr>
                <w:i/>
                <w:iCs/>
                <w:highlight w:val="cyan"/>
                <w:lang w:val="fr-FR"/>
              </w:rPr>
              <w:t>CITEL</w:t>
            </w:r>
          </w:p>
        </w:tc>
        <w:tc>
          <w:tcPr>
            <w:tcW w:w="4376" w:type="dxa"/>
            <w:vAlign w:val="center"/>
          </w:tcPr>
          <w:p w14:paraId="79099A88" w14:textId="61EE9E2C" w:rsidR="00E40296" w:rsidRPr="0067729A" w:rsidRDefault="00FD0ACC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INS</w:t>
            </w:r>
            <w:r w:rsidR="00401D9A">
              <w:rPr>
                <w:i/>
                <w:iCs/>
                <w:highlight w:val="cyan"/>
              </w:rPr>
              <w:t xml:space="preserve">, </w:t>
            </w:r>
            <w:r w:rsidR="008D5785">
              <w:rPr>
                <w:i/>
                <w:iCs/>
                <w:highlight w:val="cyan"/>
              </w:rPr>
              <w:t xml:space="preserve">KOR, </w:t>
            </w:r>
            <w:r w:rsidR="00401D9A">
              <w:rPr>
                <w:i/>
                <w:iCs/>
                <w:highlight w:val="cyan"/>
              </w:rPr>
              <w:t>SLM, TON</w:t>
            </w:r>
          </w:p>
        </w:tc>
      </w:tr>
    </w:tbl>
    <w:p w14:paraId="513F8221" w14:textId="77777777" w:rsidR="00891DBC" w:rsidRDefault="00891DBC" w:rsidP="00891DBC">
      <w:pPr>
        <w:rPr>
          <w:i/>
          <w:iCs/>
          <w:highlight w:val="cy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2812"/>
        <w:gridCol w:w="3330"/>
      </w:tblGrid>
      <w:tr w:rsidR="00891DBC" w:rsidRPr="00527032" w14:paraId="52DE3495" w14:textId="77777777" w:rsidTr="009A7D43">
        <w:tc>
          <w:tcPr>
            <w:tcW w:w="141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C70109F" w14:textId="77777777" w:rsidR="00891DBC" w:rsidRDefault="00891DBC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Alternative</w:t>
            </w:r>
          </w:p>
        </w:tc>
        <w:tc>
          <w:tcPr>
            <w:tcW w:w="6142" w:type="dxa"/>
            <w:gridSpan w:val="2"/>
            <w:shd w:val="clear" w:color="auto" w:fill="D9D9D9" w:themeFill="background1" w:themeFillShade="D9"/>
            <w:vAlign w:val="center"/>
          </w:tcPr>
          <w:p w14:paraId="423A5511" w14:textId="77777777" w:rsidR="00891DBC" w:rsidRPr="00527032" w:rsidRDefault="00891DBC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Support</w:t>
            </w:r>
          </w:p>
        </w:tc>
      </w:tr>
      <w:tr w:rsidR="00891DBC" w:rsidRPr="00527032" w14:paraId="1A4FF031" w14:textId="77777777" w:rsidTr="009A7D43">
        <w:tc>
          <w:tcPr>
            <w:tcW w:w="1413" w:type="dxa"/>
            <w:gridSpan w:val="2"/>
            <w:vMerge/>
            <w:shd w:val="clear" w:color="auto" w:fill="D9D9D9" w:themeFill="background1" w:themeFillShade="D9"/>
            <w:vAlign w:val="center"/>
          </w:tcPr>
          <w:p w14:paraId="319415F1" w14:textId="77777777" w:rsidR="00891DBC" w:rsidRDefault="00891DBC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</w:p>
        </w:tc>
        <w:tc>
          <w:tcPr>
            <w:tcW w:w="2812" w:type="dxa"/>
            <w:shd w:val="clear" w:color="auto" w:fill="D9D9D9" w:themeFill="background1" w:themeFillShade="D9"/>
            <w:vAlign w:val="center"/>
          </w:tcPr>
          <w:p w14:paraId="191A81EA" w14:textId="77777777" w:rsidR="00891DBC" w:rsidRPr="00527032" w:rsidRDefault="00891DBC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Region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28F6ACCD" w14:textId="77777777" w:rsidR="00891DBC" w:rsidRPr="00527032" w:rsidRDefault="00891DBC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 w:rsidRPr="00527032">
              <w:rPr>
                <w:i/>
                <w:iCs/>
                <w:highlight w:val="cyan"/>
              </w:rPr>
              <w:t xml:space="preserve">Administration </w:t>
            </w:r>
          </w:p>
        </w:tc>
      </w:tr>
      <w:tr w:rsidR="005E7D7A" w:rsidRPr="00527032" w14:paraId="30004554" w14:textId="77777777" w:rsidTr="009A7D43">
        <w:tc>
          <w:tcPr>
            <w:tcW w:w="704" w:type="dxa"/>
            <w:vMerge w:val="restart"/>
            <w:vAlign w:val="center"/>
          </w:tcPr>
          <w:p w14:paraId="31049AC9" w14:textId="77777777" w:rsidR="005E7D7A" w:rsidRDefault="005E7D7A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16a</w:t>
            </w:r>
          </w:p>
        </w:tc>
        <w:tc>
          <w:tcPr>
            <w:tcW w:w="709" w:type="dxa"/>
          </w:tcPr>
          <w:p w14:paraId="18B2E637" w14:textId="77777777" w:rsidR="005E7D7A" w:rsidRDefault="005E7D7A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1</w:t>
            </w:r>
          </w:p>
        </w:tc>
        <w:tc>
          <w:tcPr>
            <w:tcW w:w="2812" w:type="dxa"/>
            <w:vAlign w:val="center"/>
          </w:tcPr>
          <w:p w14:paraId="2236939D" w14:textId="5F6E3103" w:rsidR="005E7D7A" w:rsidRDefault="005E7D7A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APT, ATU, CITEL</w:t>
            </w:r>
          </w:p>
        </w:tc>
        <w:tc>
          <w:tcPr>
            <w:tcW w:w="3330" w:type="dxa"/>
            <w:vAlign w:val="center"/>
          </w:tcPr>
          <w:p w14:paraId="22C9BA64" w14:textId="5CC4FFA9" w:rsidR="005E7D7A" w:rsidRPr="00527032" w:rsidRDefault="00715315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INS</w:t>
            </w:r>
            <w:r w:rsidR="00401D9A">
              <w:rPr>
                <w:i/>
                <w:iCs/>
                <w:highlight w:val="cyan"/>
              </w:rPr>
              <w:t xml:space="preserve">, </w:t>
            </w:r>
            <w:r w:rsidR="00A079E7">
              <w:rPr>
                <w:i/>
                <w:iCs/>
                <w:highlight w:val="cyan"/>
              </w:rPr>
              <w:t xml:space="preserve">KOR, </w:t>
            </w:r>
            <w:r w:rsidR="00401D9A">
              <w:rPr>
                <w:i/>
                <w:iCs/>
                <w:highlight w:val="cyan"/>
              </w:rPr>
              <w:t>SLM, TON</w:t>
            </w:r>
          </w:p>
        </w:tc>
      </w:tr>
      <w:tr w:rsidR="005E7D7A" w:rsidRPr="00527032" w14:paraId="50B67178" w14:textId="77777777" w:rsidTr="009A7D43">
        <w:tc>
          <w:tcPr>
            <w:tcW w:w="704" w:type="dxa"/>
            <w:vMerge/>
            <w:vAlign w:val="center"/>
          </w:tcPr>
          <w:p w14:paraId="1570676F" w14:textId="77777777" w:rsidR="005E7D7A" w:rsidRDefault="005E7D7A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</w:p>
        </w:tc>
        <w:tc>
          <w:tcPr>
            <w:tcW w:w="709" w:type="dxa"/>
          </w:tcPr>
          <w:p w14:paraId="143CBE7B" w14:textId="77777777" w:rsidR="005E7D7A" w:rsidRDefault="005E7D7A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2</w:t>
            </w:r>
          </w:p>
        </w:tc>
        <w:tc>
          <w:tcPr>
            <w:tcW w:w="2812" w:type="dxa"/>
            <w:vAlign w:val="center"/>
          </w:tcPr>
          <w:p w14:paraId="79642E27" w14:textId="77777777" w:rsidR="005E7D7A" w:rsidRDefault="005E7D7A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CEPT</w:t>
            </w:r>
          </w:p>
        </w:tc>
        <w:tc>
          <w:tcPr>
            <w:tcW w:w="3330" w:type="dxa"/>
            <w:vAlign w:val="center"/>
          </w:tcPr>
          <w:p w14:paraId="134B7439" w14:textId="77777777" w:rsidR="005E7D7A" w:rsidRPr="00527032" w:rsidRDefault="005E7D7A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</w:p>
        </w:tc>
      </w:tr>
      <w:tr w:rsidR="005E7D7A" w:rsidRPr="00527032" w14:paraId="58E6B6D9" w14:textId="77777777" w:rsidTr="009A7D43">
        <w:tc>
          <w:tcPr>
            <w:tcW w:w="704" w:type="dxa"/>
            <w:vMerge w:val="restart"/>
            <w:vAlign w:val="center"/>
          </w:tcPr>
          <w:p w14:paraId="28611807" w14:textId="67B1B878" w:rsidR="005E7D7A" w:rsidRDefault="005E7D7A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16b</w:t>
            </w:r>
          </w:p>
        </w:tc>
        <w:tc>
          <w:tcPr>
            <w:tcW w:w="709" w:type="dxa"/>
          </w:tcPr>
          <w:p w14:paraId="2FE37C24" w14:textId="2255783E" w:rsidR="005E7D7A" w:rsidRDefault="005E7D7A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1</w:t>
            </w:r>
          </w:p>
        </w:tc>
        <w:tc>
          <w:tcPr>
            <w:tcW w:w="2812" w:type="dxa"/>
            <w:vAlign w:val="center"/>
          </w:tcPr>
          <w:p w14:paraId="451E4260" w14:textId="67A77CCD" w:rsidR="005E7D7A" w:rsidRDefault="005E7D7A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APT, ATU, CITEL</w:t>
            </w:r>
          </w:p>
        </w:tc>
        <w:tc>
          <w:tcPr>
            <w:tcW w:w="3330" w:type="dxa"/>
            <w:vAlign w:val="center"/>
          </w:tcPr>
          <w:p w14:paraId="34E539C9" w14:textId="57364BF1" w:rsidR="005E7D7A" w:rsidRPr="00527032" w:rsidRDefault="00715315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INS</w:t>
            </w:r>
            <w:r w:rsidR="00401D9A">
              <w:rPr>
                <w:i/>
                <w:iCs/>
                <w:highlight w:val="cyan"/>
              </w:rPr>
              <w:t xml:space="preserve">, </w:t>
            </w:r>
            <w:r w:rsidR="00A079E7">
              <w:rPr>
                <w:i/>
                <w:iCs/>
                <w:highlight w:val="cyan"/>
              </w:rPr>
              <w:t xml:space="preserve">KOR, </w:t>
            </w:r>
            <w:r w:rsidR="00401D9A">
              <w:rPr>
                <w:i/>
                <w:iCs/>
                <w:highlight w:val="cyan"/>
              </w:rPr>
              <w:t>SLM, TON</w:t>
            </w:r>
          </w:p>
        </w:tc>
      </w:tr>
      <w:tr w:rsidR="005E7D7A" w:rsidRPr="00527032" w14:paraId="664DF157" w14:textId="77777777" w:rsidTr="009A7D43">
        <w:tc>
          <w:tcPr>
            <w:tcW w:w="704" w:type="dxa"/>
            <w:vMerge/>
            <w:vAlign w:val="center"/>
          </w:tcPr>
          <w:p w14:paraId="624198EC" w14:textId="77777777" w:rsidR="005E7D7A" w:rsidRDefault="005E7D7A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</w:p>
        </w:tc>
        <w:tc>
          <w:tcPr>
            <w:tcW w:w="709" w:type="dxa"/>
          </w:tcPr>
          <w:p w14:paraId="0994872E" w14:textId="43F2BA31" w:rsidR="005E7D7A" w:rsidRDefault="005E7D7A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2</w:t>
            </w:r>
          </w:p>
        </w:tc>
        <w:tc>
          <w:tcPr>
            <w:tcW w:w="2812" w:type="dxa"/>
            <w:vAlign w:val="center"/>
          </w:tcPr>
          <w:p w14:paraId="2212A357" w14:textId="6A7BA19D" w:rsidR="005E7D7A" w:rsidRDefault="005E7D7A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CEPT</w:t>
            </w:r>
          </w:p>
        </w:tc>
        <w:tc>
          <w:tcPr>
            <w:tcW w:w="3330" w:type="dxa"/>
            <w:vAlign w:val="center"/>
          </w:tcPr>
          <w:p w14:paraId="4010F9DA" w14:textId="77777777" w:rsidR="005E7D7A" w:rsidRPr="00527032" w:rsidRDefault="005E7D7A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</w:p>
        </w:tc>
      </w:tr>
      <w:tr w:rsidR="00DB3E2F" w:rsidRPr="00527032" w14:paraId="5DC6E4AD" w14:textId="77777777" w:rsidTr="009A7D43">
        <w:tc>
          <w:tcPr>
            <w:tcW w:w="704" w:type="dxa"/>
            <w:vMerge w:val="restart"/>
            <w:vAlign w:val="center"/>
          </w:tcPr>
          <w:p w14:paraId="07BE58BA" w14:textId="74471658" w:rsidR="00DB3E2F" w:rsidRPr="00527032" w:rsidRDefault="00DB3E2F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16c</w:t>
            </w:r>
            <w:r w:rsidRPr="00527032">
              <w:rPr>
                <w:i/>
                <w:iCs/>
                <w:highlight w:val="cyan"/>
              </w:rPr>
              <w:t xml:space="preserve"> </w:t>
            </w:r>
          </w:p>
        </w:tc>
        <w:tc>
          <w:tcPr>
            <w:tcW w:w="709" w:type="dxa"/>
          </w:tcPr>
          <w:p w14:paraId="2C5E91A4" w14:textId="77777777" w:rsidR="00DB3E2F" w:rsidRDefault="00DB3E2F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1</w:t>
            </w:r>
          </w:p>
        </w:tc>
        <w:tc>
          <w:tcPr>
            <w:tcW w:w="2812" w:type="dxa"/>
            <w:vAlign w:val="center"/>
          </w:tcPr>
          <w:p w14:paraId="430611A7" w14:textId="38431437" w:rsidR="00DB3E2F" w:rsidRPr="00527032" w:rsidRDefault="00DB3E2F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CITEL</w:t>
            </w:r>
          </w:p>
        </w:tc>
        <w:tc>
          <w:tcPr>
            <w:tcW w:w="3330" w:type="dxa"/>
            <w:vAlign w:val="center"/>
          </w:tcPr>
          <w:p w14:paraId="5ADFFBAC" w14:textId="77777777" w:rsidR="00DB3E2F" w:rsidRPr="00527032" w:rsidRDefault="00DB3E2F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</w:p>
        </w:tc>
      </w:tr>
      <w:tr w:rsidR="00DB3E2F" w:rsidRPr="00866224" w14:paraId="45ED552E" w14:textId="77777777" w:rsidTr="009A7D43">
        <w:tc>
          <w:tcPr>
            <w:tcW w:w="704" w:type="dxa"/>
            <w:vMerge/>
            <w:vAlign w:val="center"/>
          </w:tcPr>
          <w:p w14:paraId="323FAFF8" w14:textId="77777777" w:rsidR="00DB3E2F" w:rsidRPr="00527032" w:rsidRDefault="00DB3E2F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</w:p>
        </w:tc>
        <w:tc>
          <w:tcPr>
            <w:tcW w:w="709" w:type="dxa"/>
          </w:tcPr>
          <w:p w14:paraId="504E7EE1" w14:textId="77777777" w:rsidR="00DB3E2F" w:rsidRDefault="00DB3E2F" w:rsidP="00B0417C">
            <w:pPr>
              <w:spacing w:before="0"/>
              <w:jc w:val="center"/>
              <w:rPr>
                <w:i/>
                <w:iCs/>
                <w:highlight w:val="cyan"/>
                <w:lang w:val="fr-FR"/>
              </w:rPr>
            </w:pPr>
            <w:r>
              <w:rPr>
                <w:i/>
                <w:iCs/>
                <w:highlight w:val="cyan"/>
                <w:lang w:val="fr-FR"/>
              </w:rPr>
              <w:t>2</w:t>
            </w:r>
          </w:p>
        </w:tc>
        <w:tc>
          <w:tcPr>
            <w:tcW w:w="2812" w:type="dxa"/>
            <w:vAlign w:val="center"/>
          </w:tcPr>
          <w:p w14:paraId="6E666A02" w14:textId="1C7B98F2" w:rsidR="00DB3E2F" w:rsidRPr="00527032" w:rsidRDefault="00DB3E2F" w:rsidP="00B0417C">
            <w:pPr>
              <w:spacing w:before="0"/>
              <w:jc w:val="center"/>
              <w:rPr>
                <w:i/>
                <w:iCs/>
                <w:highlight w:val="cyan"/>
                <w:lang w:val="fr-FR"/>
              </w:rPr>
            </w:pPr>
            <w:r>
              <w:rPr>
                <w:i/>
                <w:iCs/>
                <w:highlight w:val="cyan"/>
                <w:lang w:val="fr-FR"/>
              </w:rPr>
              <w:t>CEPT</w:t>
            </w:r>
          </w:p>
        </w:tc>
        <w:tc>
          <w:tcPr>
            <w:tcW w:w="3330" w:type="dxa"/>
            <w:vAlign w:val="center"/>
          </w:tcPr>
          <w:p w14:paraId="69FDBA9F" w14:textId="006B4A97" w:rsidR="00DB3E2F" w:rsidRPr="00866224" w:rsidRDefault="00DB3E2F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</w:p>
        </w:tc>
      </w:tr>
      <w:tr w:rsidR="00DB3E2F" w:rsidRPr="00866224" w14:paraId="1C6C33A2" w14:textId="77777777" w:rsidTr="009A7D43">
        <w:tc>
          <w:tcPr>
            <w:tcW w:w="704" w:type="dxa"/>
            <w:vMerge/>
            <w:vAlign w:val="center"/>
          </w:tcPr>
          <w:p w14:paraId="3CE9A35F" w14:textId="77777777" w:rsidR="00DB3E2F" w:rsidRPr="00527032" w:rsidRDefault="00DB3E2F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</w:p>
        </w:tc>
        <w:tc>
          <w:tcPr>
            <w:tcW w:w="709" w:type="dxa"/>
          </w:tcPr>
          <w:p w14:paraId="6A2D4F4C" w14:textId="77777777" w:rsidR="00DB3E2F" w:rsidRDefault="00DB3E2F" w:rsidP="00B0417C">
            <w:pPr>
              <w:spacing w:before="0"/>
              <w:jc w:val="center"/>
              <w:rPr>
                <w:i/>
                <w:iCs/>
                <w:highlight w:val="cyan"/>
                <w:lang w:val="fr-FR"/>
              </w:rPr>
            </w:pPr>
            <w:r>
              <w:rPr>
                <w:i/>
                <w:iCs/>
                <w:highlight w:val="cyan"/>
                <w:lang w:val="fr-FR"/>
              </w:rPr>
              <w:t>3</w:t>
            </w:r>
          </w:p>
        </w:tc>
        <w:tc>
          <w:tcPr>
            <w:tcW w:w="2812" w:type="dxa"/>
            <w:vAlign w:val="center"/>
          </w:tcPr>
          <w:p w14:paraId="67480401" w14:textId="1F82DAC0" w:rsidR="00DB3E2F" w:rsidRPr="00527032" w:rsidRDefault="00DB3E2F" w:rsidP="00B0417C">
            <w:pPr>
              <w:spacing w:before="0"/>
              <w:jc w:val="center"/>
              <w:rPr>
                <w:i/>
                <w:iCs/>
                <w:highlight w:val="cyan"/>
                <w:lang w:val="fr-FR"/>
              </w:rPr>
            </w:pPr>
            <w:r>
              <w:rPr>
                <w:i/>
                <w:iCs/>
                <w:highlight w:val="cyan"/>
                <w:lang w:val="fr-FR"/>
              </w:rPr>
              <w:t>APT</w:t>
            </w:r>
          </w:p>
        </w:tc>
        <w:tc>
          <w:tcPr>
            <w:tcW w:w="3330" w:type="dxa"/>
            <w:vAlign w:val="center"/>
          </w:tcPr>
          <w:p w14:paraId="50CE7BB2" w14:textId="084EBE20" w:rsidR="00DB3E2F" w:rsidRPr="00866224" w:rsidRDefault="00DB3E2F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KOR</w:t>
            </w:r>
          </w:p>
        </w:tc>
      </w:tr>
      <w:tr w:rsidR="009A7D43" w:rsidRPr="00866224" w14:paraId="4766B093" w14:textId="77777777" w:rsidTr="009A7D43">
        <w:tc>
          <w:tcPr>
            <w:tcW w:w="704" w:type="dxa"/>
            <w:vMerge w:val="restart"/>
            <w:vAlign w:val="center"/>
          </w:tcPr>
          <w:p w14:paraId="44B0B4A5" w14:textId="5D89617E" w:rsidR="009A7D43" w:rsidRPr="004419D5" w:rsidRDefault="009A7D43" w:rsidP="0093187F">
            <w:pPr>
              <w:spacing w:before="0"/>
              <w:jc w:val="center"/>
              <w:rPr>
                <w:i/>
                <w:iCs/>
                <w:highlight w:val="cyan"/>
                <w:lang w:val="fr-FR"/>
              </w:rPr>
            </w:pPr>
            <w:r>
              <w:rPr>
                <w:i/>
                <w:iCs/>
                <w:highlight w:val="cyan"/>
                <w:lang w:val="fr-FR"/>
              </w:rPr>
              <w:t>16d</w:t>
            </w:r>
          </w:p>
        </w:tc>
        <w:tc>
          <w:tcPr>
            <w:tcW w:w="709" w:type="dxa"/>
          </w:tcPr>
          <w:p w14:paraId="4A0EF006" w14:textId="77777777" w:rsidR="009A7D43" w:rsidRDefault="009A7D43" w:rsidP="0093187F">
            <w:pPr>
              <w:spacing w:before="0"/>
              <w:jc w:val="center"/>
              <w:rPr>
                <w:i/>
                <w:iCs/>
                <w:highlight w:val="cyan"/>
                <w:lang w:val="fr-FR"/>
              </w:rPr>
            </w:pPr>
            <w:r>
              <w:rPr>
                <w:i/>
                <w:iCs/>
                <w:highlight w:val="cyan"/>
                <w:lang w:val="fr-FR"/>
              </w:rPr>
              <w:t>1</w:t>
            </w:r>
          </w:p>
        </w:tc>
        <w:tc>
          <w:tcPr>
            <w:tcW w:w="2812" w:type="dxa"/>
            <w:vAlign w:val="center"/>
          </w:tcPr>
          <w:p w14:paraId="3A1B02AD" w14:textId="77777777" w:rsidR="009A7D43" w:rsidRDefault="009A7D43" w:rsidP="0093187F">
            <w:pPr>
              <w:spacing w:before="0"/>
              <w:jc w:val="center"/>
              <w:rPr>
                <w:i/>
                <w:iCs/>
                <w:highlight w:val="cyan"/>
                <w:lang w:val="fr-FR"/>
              </w:rPr>
            </w:pPr>
            <w:r>
              <w:rPr>
                <w:i/>
                <w:iCs/>
                <w:highlight w:val="cyan"/>
                <w:lang w:val="fr-FR"/>
              </w:rPr>
              <w:t xml:space="preserve">APT, ASMG, ATU, CITEL, </w:t>
            </w:r>
          </w:p>
        </w:tc>
        <w:tc>
          <w:tcPr>
            <w:tcW w:w="3330" w:type="dxa"/>
            <w:vAlign w:val="center"/>
          </w:tcPr>
          <w:p w14:paraId="39428149" w14:textId="77777777" w:rsidR="009A7D43" w:rsidRPr="00866224" w:rsidRDefault="009A7D43" w:rsidP="0093187F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INS, KOR, SLM, TON</w:t>
            </w:r>
          </w:p>
        </w:tc>
      </w:tr>
      <w:tr w:rsidR="009A7D43" w:rsidRPr="00866224" w14:paraId="3FF69AAB" w14:textId="77777777" w:rsidTr="009A7D43">
        <w:tc>
          <w:tcPr>
            <w:tcW w:w="704" w:type="dxa"/>
            <w:vMerge/>
            <w:vAlign w:val="center"/>
          </w:tcPr>
          <w:p w14:paraId="4990D630" w14:textId="77777777" w:rsidR="009A7D43" w:rsidRDefault="009A7D43" w:rsidP="0093187F">
            <w:pPr>
              <w:spacing w:before="0"/>
              <w:jc w:val="center"/>
              <w:rPr>
                <w:i/>
                <w:iCs/>
                <w:highlight w:val="cyan"/>
                <w:lang w:val="fr-FR"/>
              </w:rPr>
            </w:pPr>
          </w:p>
        </w:tc>
        <w:tc>
          <w:tcPr>
            <w:tcW w:w="709" w:type="dxa"/>
          </w:tcPr>
          <w:p w14:paraId="5475C0A9" w14:textId="77777777" w:rsidR="009A7D43" w:rsidRDefault="009A7D43" w:rsidP="0093187F">
            <w:pPr>
              <w:spacing w:before="0"/>
              <w:jc w:val="center"/>
              <w:rPr>
                <w:i/>
                <w:iCs/>
                <w:highlight w:val="cyan"/>
                <w:lang w:val="fr-FR"/>
              </w:rPr>
            </w:pPr>
            <w:r>
              <w:rPr>
                <w:i/>
                <w:iCs/>
                <w:highlight w:val="cyan"/>
                <w:lang w:val="fr-FR"/>
              </w:rPr>
              <w:t>2</w:t>
            </w:r>
          </w:p>
        </w:tc>
        <w:tc>
          <w:tcPr>
            <w:tcW w:w="2812" w:type="dxa"/>
            <w:vAlign w:val="center"/>
          </w:tcPr>
          <w:p w14:paraId="446CE956" w14:textId="77777777" w:rsidR="009A7D43" w:rsidRDefault="009A7D43" w:rsidP="0093187F">
            <w:pPr>
              <w:spacing w:before="0"/>
              <w:jc w:val="center"/>
              <w:rPr>
                <w:i/>
                <w:iCs/>
                <w:highlight w:val="cyan"/>
                <w:lang w:val="fr-FR"/>
              </w:rPr>
            </w:pPr>
            <w:r>
              <w:rPr>
                <w:i/>
                <w:iCs/>
                <w:highlight w:val="cyan"/>
                <w:lang w:val="fr-FR"/>
              </w:rPr>
              <w:t>CEPT</w:t>
            </w:r>
          </w:p>
        </w:tc>
        <w:tc>
          <w:tcPr>
            <w:tcW w:w="3330" w:type="dxa"/>
            <w:vAlign w:val="center"/>
          </w:tcPr>
          <w:p w14:paraId="21406F32" w14:textId="77777777" w:rsidR="009A7D43" w:rsidRPr="00866224" w:rsidRDefault="009A7D43" w:rsidP="0093187F">
            <w:pPr>
              <w:spacing w:before="0"/>
              <w:jc w:val="center"/>
              <w:rPr>
                <w:i/>
                <w:iCs/>
                <w:highlight w:val="cyan"/>
              </w:rPr>
            </w:pPr>
          </w:p>
        </w:tc>
      </w:tr>
      <w:tr w:rsidR="004419D5" w:rsidRPr="00866224" w14:paraId="4A49DC64" w14:textId="77777777" w:rsidTr="009A7D43">
        <w:tc>
          <w:tcPr>
            <w:tcW w:w="704" w:type="dxa"/>
            <w:vMerge w:val="restart"/>
            <w:vAlign w:val="center"/>
          </w:tcPr>
          <w:p w14:paraId="2C0DBE3C" w14:textId="6B2ECAF1" w:rsidR="004419D5" w:rsidRPr="00527032" w:rsidRDefault="004419D5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16</w:t>
            </w:r>
            <w:r w:rsidR="009A7D43">
              <w:rPr>
                <w:i/>
                <w:iCs/>
                <w:highlight w:val="cyan"/>
              </w:rPr>
              <w:t>e</w:t>
            </w:r>
          </w:p>
        </w:tc>
        <w:tc>
          <w:tcPr>
            <w:tcW w:w="709" w:type="dxa"/>
          </w:tcPr>
          <w:p w14:paraId="2647CD9A" w14:textId="390B6BF3" w:rsidR="004419D5" w:rsidRDefault="004419D5" w:rsidP="00B0417C">
            <w:pPr>
              <w:spacing w:before="0"/>
              <w:jc w:val="center"/>
              <w:rPr>
                <w:i/>
                <w:iCs/>
                <w:highlight w:val="cyan"/>
                <w:lang w:val="fr-FR"/>
              </w:rPr>
            </w:pPr>
            <w:r>
              <w:rPr>
                <w:i/>
                <w:iCs/>
                <w:highlight w:val="cyan"/>
                <w:lang w:val="fr-FR"/>
              </w:rPr>
              <w:t>1</w:t>
            </w:r>
          </w:p>
        </w:tc>
        <w:tc>
          <w:tcPr>
            <w:tcW w:w="2812" w:type="dxa"/>
            <w:vAlign w:val="center"/>
          </w:tcPr>
          <w:p w14:paraId="2BA76390" w14:textId="2EAB0D5D" w:rsidR="004419D5" w:rsidRPr="00527032" w:rsidRDefault="004419D5" w:rsidP="00B0417C">
            <w:pPr>
              <w:spacing w:before="0"/>
              <w:jc w:val="center"/>
              <w:rPr>
                <w:i/>
                <w:iCs/>
                <w:highlight w:val="cyan"/>
                <w:lang w:val="fr-FR"/>
              </w:rPr>
            </w:pPr>
            <w:r>
              <w:rPr>
                <w:i/>
                <w:iCs/>
                <w:highlight w:val="cyan"/>
                <w:lang w:val="fr-FR"/>
              </w:rPr>
              <w:t>CITEL</w:t>
            </w:r>
          </w:p>
        </w:tc>
        <w:tc>
          <w:tcPr>
            <w:tcW w:w="3330" w:type="dxa"/>
            <w:vAlign w:val="center"/>
          </w:tcPr>
          <w:p w14:paraId="4FA36440" w14:textId="77777777" w:rsidR="004419D5" w:rsidRPr="00866224" w:rsidRDefault="004419D5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</w:p>
        </w:tc>
      </w:tr>
      <w:tr w:rsidR="004419D5" w:rsidRPr="00866224" w14:paraId="74AA0193" w14:textId="77777777" w:rsidTr="009A7D43">
        <w:tc>
          <w:tcPr>
            <w:tcW w:w="704" w:type="dxa"/>
            <w:vMerge/>
            <w:vAlign w:val="center"/>
          </w:tcPr>
          <w:p w14:paraId="01CF9CFF" w14:textId="77777777" w:rsidR="004419D5" w:rsidRDefault="004419D5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</w:p>
        </w:tc>
        <w:tc>
          <w:tcPr>
            <w:tcW w:w="709" w:type="dxa"/>
          </w:tcPr>
          <w:p w14:paraId="14C69EA8" w14:textId="06391363" w:rsidR="004419D5" w:rsidRDefault="004419D5" w:rsidP="00B0417C">
            <w:pPr>
              <w:spacing w:before="0"/>
              <w:jc w:val="center"/>
              <w:rPr>
                <w:i/>
                <w:iCs/>
                <w:highlight w:val="cyan"/>
                <w:lang w:val="fr-FR"/>
              </w:rPr>
            </w:pPr>
            <w:r>
              <w:rPr>
                <w:i/>
                <w:iCs/>
                <w:highlight w:val="cyan"/>
                <w:lang w:val="fr-FR"/>
              </w:rPr>
              <w:t>2</w:t>
            </w:r>
          </w:p>
        </w:tc>
        <w:tc>
          <w:tcPr>
            <w:tcW w:w="2812" w:type="dxa"/>
            <w:vAlign w:val="center"/>
          </w:tcPr>
          <w:p w14:paraId="22C15978" w14:textId="30699BDC" w:rsidR="004419D5" w:rsidRPr="00527032" w:rsidRDefault="004419D5" w:rsidP="00B0417C">
            <w:pPr>
              <w:spacing w:before="0"/>
              <w:jc w:val="center"/>
              <w:rPr>
                <w:i/>
                <w:iCs/>
                <w:highlight w:val="cyan"/>
                <w:lang w:val="fr-FR"/>
              </w:rPr>
            </w:pPr>
            <w:r>
              <w:rPr>
                <w:i/>
                <w:iCs/>
                <w:highlight w:val="cyan"/>
                <w:lang w:val="fr-FR"/>
              </w:rPr>
              <w:t>CEPT</w:t>
            </w:r>
          </w:p>
        </w:tc>
        <w:tc>
          <w:tcPr>
            <w:tcW w:w="3330" w:type="dxa"/>
            <w:vAlign w:val="center"/>
          </w:tcPr>
          <w:p w14:paraId="6E92112E" w14:textId="77777777" w:rsidR="004419D5" w:rsidRPr="00866224" w:rsidRDefault="004419D5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</w:p>
        </w:tc>
      </w:tr>
      <w:tr w:rsidR="004419D5" w:rsidRPr="00866224" w14:paraId="0BCA6861" w14:textId="77777777" w:rsidTr="009A7D43">
        <w:tc>
          <w:tcPr>
            <w:tcW w:w="704" w:type="dxa"/>
            <w:vMerge/>
            <w:vAlign w:val="center"/>
          </w:tcPr>
          <w:p w14:paraId="7832B1B3" w14:textId="77777777" w:rsidR="004419D5" w:rsidRDefault="004419D5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</w:p>
        </w:tc>
        <w:tc>
          <w:tcPr>
            <w:tcW w:w="709" w:type="dxa"/>
          </w:tcPr>
          <w:p w14:paraId="4BD823D3" w14:textId="6F130DC7" w:rsidR="004419D5" w:rsidRDefault="004419D5" w:rsidP="00B0417C">
            <w:pPr>
              <w:spacing w:before="0"/>
              <w:jc w:val="center"/>
              <w:rPr>
                <w:i/>
                <w:iCs/>
                <w:highlight w:val="cyan"/>
                <w:lang w:val="fr-FR"/>
              </w:rPr>
            </w:pPr>
            <w:r>
              <w:rPr>
                <w:i/>
                <w:iCs/>
                <w:highlight w:val="cyan"/>
                <w:lang w:val="fr-FR"/>
              </w:rPr>
              <w:t>3</w:t>
            </w:r>
          </w:p>
        </w:tc>
        <w:tc>
          <w:tcPr>
            <w:tcW w:w="2812" w:type="dxa"/>
            <w:vAlign w:val="center"/>
          </w:tcPr>
          <w:p w14:paraId="3DE342F9" w14:textId="63251394" w:rsidR="004419D5" w:rsidRDefault="004419D5" w:rsidP="00B0417C">
            <w:pPr>
              <w:spacing w:before="0"/>
              <w:jc w:val="center"/>
              <w:rPr>
                <w:i/>
                <w:iCs/>
                <w:highlight w:val="cyan"/>
                <w:lang w:val="fr-FR"/>
              </w:rPr>
            </w:pPr>
            <w:r>
              <w:rPr>
                <w:i/>
                <w:iCs/>
                <w:highlight w:val="cyan"/>
                <w:lang w:val="fr-FR"/>
              </w:rPr>
              <w:t>ATU</w:t>
            </w:r>
          </w:p>
        </w:tc>
        <w:tc>
          <w:tcPr>
            <w:tcW w:w="3330" w:type="dxa"/>
            <w:vAlign w:val="center"/>
          </w:tcPr>
          <w:p w14:paraId="528D24D2" w14:textId="743EBD89" w:rsidR="004419D5" w:rsidRPr="00866224" w:rsidRDefault="006D11D4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KOR</w:t>
            </w:r>
          </w:p>
        </w:tc>
      </w:tr>
      <w:tr w:rsidR="004419D5" w:rsidRPr="00866224" w14:paraId="4DD401B1" w14:textId="77777777" w:rsidTr="009A7D43">
        <w:tc>
          <w:tcPr>
            <w:tcW w:w="704" w:type="dxa"/>
            <w:vMerge/>
            <w:vAlign w:val="center"/>
          </w:tcPr>
          <w:p w14:paraId="597292F3" w14:textId="77777777" w:rsidR="004419D5" w:rsidRDefault="004419D5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</w:p>
        </w:tc>
        <w:tc>
          <w:tcPr>
            <w:tcW w:w="709" w:type="dxa"/>
          </w:tcPr>
          <w:p w14:paraId="1B7C5B9C" w14:textId="5951BC8A" w:rsidR="004419D5" w:rsidRDefault="004419D5" w:rsidP="00B0417C">
            <w:pPr>
              <w:spacing w:before="0"/>
              <w:jc w:val="center"/>
              <w:rPr>
                <w:i/>
                <w:iCs/>
                <w:highlight w:val="cyan"/>
                <w:lang w:val="fr-FR"/>
              </w:rPr>
            </w:pPr>
            <w:r>
              <w:rPr>
                <w:i/>
                <w:iCs/>
                <w:highlight w:val="cyan"/>
                <w:lang w:val="fr-FR"/>
              </w:rPr>
              <w:t>4</w:t>
            </w:r>
          </w:p>
        </w:tc>
        <w:tc>
          <w:tcPr>
            <w:tcW w:w="2812" w:type="dxa"/>
            <w:vAlign w:val="center"/>
          </w:tcPr>
          <w:p w14:paraId="0CD31DAE" w14:textId="426C90E0" w:rsidR="004419D5" w:rsidRDefault="004419D5" w:rsidP="00B0417C">
            <w:pPr>
              <w:spacing w:before="0"/>
              <w:jc w:val="center"/>
              <w:rPr>
                <w:i/>
                <w:iCs/>
                <w:highlight w:val="cyan"/>
                <w:lang w:val="fr-FR"/>
              </w:rPr>
            </w:pPr>
            <w:r>
              <w:rPr>
                <w:i/>
                <w:iCs/>
                <w:highlight w:val="cyan"/>
                <w:lang w:val="fr-FR"/>
              </w:rPr>
              <w:t>ASMG</w:t>
            </w:r>
          </w:p>
        </w:tc>
        <w:tc>
          <w:tcPr>
            <w:tcW w:w="3330" w:type="dxa"/>
            <w:vAlign w:val="center"/>
          </w:tcPr>
          <w:p w14:paraId="1A2663EC" w14:textId="77777777" w:rsidR="004419D5" w:rsidRPr="00866224" w:rsidRDefault="004419D5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</w:p>
        </w:tc>
      </w:tr>
      <w:tr w:rsidR="004419D5" w:rsidRPr="00866224" w14:paraId="7CC43EB5" w14:textId="77777777" w:rsidTr="009A7D43">
        <w:tc>
          <w:tcPr>
            <w:tcW w:w="704" w:type="dxa"/>
            <w:vMerge/>
            <w:vAlign w:val="center"/>
          </w:tcPr>
          <w:p w14:paraId="37F0A6B5" w14:textId="77777777" w:rsidR="004419D5" w:rsidRDefault="004419D5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</w:p>
        </w:tc>
        <w:tc>
          <w:tcPr>
            <w:tcW w:w="709" w:type="dxa"/>
          </w:tcPr>
          <w:p w14:paraId="263840A0" w14:textId="1680F6CF" w:rsidR="004419D5" w:rsidRDefault="004419D5" w:rsidP="00B0417C">
            <w:pPr>
              <w:spacing w:before="0"/>
              <w:jc w:val="center"/>
              <w:rPr>
                <w:i/>
                <w:iCs/>
                <w:highlight w:val="cyan"/>
                <w:lang w:val="fr-FR"/>
              </w:rPr>
            </w:pPr>
            <w:r>
              <w:rPr>
                <w:i/>
                <w:iCs/>
                <w:highlight w:val="cyan"/>
                <w:lang w:val="fr-FR"/>
              </w:rPr>
              <w:t>5</w:t>
            </w:r>
          </w:p>
        </w:tc>
        <w:tc>
          <w:tcPr>
            <w:tcW w:w="2812" w:type="dxa"/>
            <w:vAlign w:val="center"/>
          </w:tcPr>
          <w:p w14:paraId="57140FEB" w14:textId="77777777" w:rsidR="004419D5" w:rsidRDefault="004419D5" w:rsidP="00B0417C">
            <w:pPr>
              <w:spacing w:before="0"/>
              <w:jc w:val="center"/>
              <w:rPr>
                <w:i/>
                <w:iCs/>
                <w:highlight w:val="cyan"/>
                <w:lang w:val="fr-FR"/>
              </w:rPr>
            </w:pPr>
          </w:p>
        </w:tc>
        <w:tc>
          <w:tcPr>
            <w:tcW w:w="3330" w:type="dxa"/>
            <w:vAlign w:val="center"/>
          </w:tcPr>
          <w:p w14:paraId="37B38363" w14:textId="3CF17777" w:rsidR="004419D5" w:rsidRPr="00866224" w:rsidRDefault="004419D5" w:rsidP="00B0417C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SLM, TON</w:t>
            </w:r>
          </w:p>
        </w:tc>
      </w:tr>
      <w:tr w:rsidR="00BB0281" w:rsidRPr="00866224" w14:paraId="06D5F5D4" w14:textId="77777777" w:rsidTr="009A7D43">
        <w:tc>
          <w:tcPr>
            <w:tcW w:w="704" w:type="dxa"/>
            <w:vMerge w:val="restart"/>
            <w:vAlign w:val="center"/>
          </w:tcPr>
          <w:p w14:paraId="75780339" w14:textId="2D05F9B1" w:rsidR="00BB0281" w:rsidRPr="00527032" w:rsidRDefault="00BB0281" w:rsidP="00337CC0">
            <w:pPr>
              <w:spacing w:before="0"/>
              <w:jc w:val="center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16</w:t>
            </w:r>
            <w:r w:rsidR="009A7D43">
              <w:rPr>
                <w:i/>
                <w:iCs/>
                <w:highlight w:val="cyan"/>
              </w:rPr>
              <w:t>f</w:t>
            </w:r>
          </w:p>
        </w:tc>
        <w:tc>
          <w:tcPr>
            <w:tcW w:w="709" w:type="dxa"/>
          </w:tcPr>
          <w:p w14:paraId="1820A176" w14:textId="64CB0F22" w:rsidR="00BB0281" w:rsidRDefault="00BB0281" w:rsidP="00337CC0">
            <w:pPr>
              <w:spacing w:before="0"/>
              <w:jc w:val="center"/>
              <w:rPr>
                <w:i/>
                <w:iCs/>
                <w:highlight w:val="cyan"/>
                <w:lang w:val="fr-FR"/>
              </w:rPr>
            </w:pPr>
            <w:r>
              <w:rPr>
                <w:i/>
                <w:iCs/>
                <w:highlight w:val="cyan"/>
                <w:lang w:val="fr-FR"/>
              </w:rPr>
              <w:t>1</w:t>
            </w:r>
          </w:p>
        </w:tc>
        <w:tc>
          <w:tcPr>
            <w:tcW w:w="2812" w:type="dxa"/>
            <w:vAlign w:val="center"/>
          </w:tcPr>
          <w:p w14:paraId="36DEFA2B" w14:textId="3AC0F073" w:rsidR="00BB0281" w:rsidRPr="00527032" w:rsidRDefault="00BB0281" w:rsidP="00337CC0">
            <w:pPr>
              <w:spacing w:before="0"/>
              <w:jc w:val="center"/>
              <w:rPr>
                <w:i/>
                <w:iCs/>
                <w:highlight w:val="cyan"/>
                <w:lang w:val="fr-FR"/>
              </w:rPr>
            </w:pPr>
            <w:r>
              <w:rPr>
                <w:i/>
                <w:iCs/>
                <w:highlight w:val="cyan"/>
              </w:rPr>
              <w:t>CITEL</w:t>
            </w:r>
          </w:p>
        </w:tc>
        <w:tc>
          <w:tcPr>
            <w:tcW w:w="3330" w:type="dxa"/>
            <w:vAlign w:val="center"/>
          </w:tcPr>
          <w:p w14:paraId="23301658" w14:textId="77777777" w:rsidR="00BB0281" w:rsidRPr="00866224" w:rsidRDefault="00BB0281" w:rsidP="00337CC0">
            <w:pPr>
              <w:spacing w:before="0"/>
              <w:jc w:val="center"/>
              <w:rPr>
                <w:i/>
                <w:iCs/>
                <w:highlight w:val="cyan"/>
              </w:rPr>
            </w:pPr>
          </w:p>
        </w:tc>
      </w:tr>
      <w:tr w:rsidR="00BB0281" w:rsidRPr="00FD5C80" w14:paraId="750331D5" w14:textId="77777777" w:rsidTr="009A7D43">
        <w:tc>
          <w:tcPr>
            <w:tcW w:w="704" w:type="dxa"/>
            <w:vMerge/>
            <w:vAlign w:val="center"/>
          </w:tcPr>
          <w:p w14:paraId="43585AA7" w14:textId="77777777" w:rsidR="00BB0281" w:rsidRDefault="00BB0281" w:rsidP="00337CC0">
            <w:pPr>
              <w:spacing w:before="0"/>
              <w:jc w:val="center"/>
              <w:rPr>
                <w:i/>
                <w:iCs/>
                <w:highlight w:val="cyan"/>
              </w:rPr>
            </w:pPr>
          </w:p>
        </w:tc>
        <w:tc>
          <w:tcPr>
            <w:tcW w:w="709" w:type="dxa"/>
          </w:tcPr>
          <w:p w14:paraId="2F9A8A44" w14:textId="169BAE3E" w:rsidR="00BB0281" w:rsidRDefault="00BB0281" w:rsidP="00337CC0">
            <w:pPr>
              <w:spacing w:before="0"/>
              <w:jc w:val="center"/>
              <w:rPr>
                <w:i/>
                <w:iCs/>
                <w:highlight w:val="cyan"/>
                <w:lang w:val="fr-FR"/>
              </w:rPr>
            </w:pPr>
            <w:r>
              <w:rPr>
                <w:i/>
                <w:iCs/>
                <w:highlight w:val="cyan"/>
                <w:lang w:val="fr-FR"/>
              </w:rPr>
              <w:t>2</w:t>
            </w:r>
          </w:p>
        </w:tc>
        <w:tc>
          <w:tcPr>
            <w:tcW w:w="2812" w:type="dxa"/>
            <w:vAlign w:val="center"/>
          </w:tcPr>
          <w:p w14:paraId="56B72520" w14:textId="261C1091" w:rsidR="00BB0281" w:rsidRPr="00527032" w:rsidRDefault="00BB0281" w:rsidP="00337CC0">
            <w:pPr>
              <w:spacing w:before="0"/>
              <w:jc w:val="center"/>
              <w:rPr>
                <w:i/>
                <w:iCs/>
                <w:highlight w:val="cyan"/>
                <w:lang w:val="fr-FR"/>
              </w:rPr>
            </w:pPr>
            <w:r>
              <w:rPr>
                <w:i/>
                <w:iCs/>
                <w:highlight w:val="cyan"/>
                <w:lang w:val="fr-FR"/>
              </w:rPr>
              <w:t>APT</w:t>
            </w:r>
            <w:r w:rsidR="006F73C2">
              <w:rPr>
                <w:i/>
                <w:iCs/>
                <w:highlight w:val="cyan"/>
                <w:lang w:val="fr-FR"/>
              </w:rPr>
              <w:t>, ASMG</w:t>
            </w:r>
          </w:p>
        </w:tc>
        <w:tc>
          <w:tcPr>
            <w:tcW w:w="3330" w:type="dxa"/>
            <w:vAlign w:val="center"/>
          </w:tcPr>
          <w:p w14:paraId="4B180EF9" w14:textId="17D0B4A2" w:rsidR="00BB0281" w:rsidRPr="004419D5" w:rsidRDefault="00715315" w:rsidP="00337CC0">
            <w:pPr>
              <w:spacing w:before="0"/>
              <w:jc w:val="center"/>
              <w:rPr>
                <w:i/>
                <w:iCs/>
                <w:highlight w:val="cyan"/>
                <w:lang w:val="fr-FR"/>
              </w:rPr>
            </w:pPr>
            <w:r w:rsidRPr="004419D5">
              <w:rPr>
                <w:i/>
                <w:iCs/>
                <w:highlight w:val="cyan"/>
                <w:lang w:val="fr-FR"/>
              </w:rPr>
              <w:t>INS</w:t>
            </w:r>
            <w:r w:rsidR="00401D9A" w:rsidRPr="004419D5">
              <w:rPr>
                <w:i/>
                <w:iCs/>
                <w:highlight w:val="cyan"/>
                <w:lang w:val="fr-FR"/>
              </w:rPr>
              <w:t xml:space="preserve">, </w:t>
            </w:r>
            <w:r w:rsidR="004419D5" w:rsidRPr="004419D5">
              <w:rPr>
                <w:i/>
                <w:iCs/>
                <w:highlight w:val="cyan"/>
                <w:lang w:val="fr-FR"/>
              </w:rPr>
              <w:t xml:space="preserve">KOR, </w:t>
            </w:r>
            <w:r w:rsidR="00401D9A" w:rsidRPr="004419D5">
              <w:rPr>
                <w:i/>
                <w:iCs/>
                <w:highlight w:val="cyan"/>
                <w:lang w:val="fr-FR"/>
              </w:rPr>
              <w:t xml:space="preserve">SLM, </w:t>
            </w:r>
            <w:r w:rsidR="004641B7" w:rsidRPr="004419D5">
              <w:rPr>
                <w:i/>
                <w:iCs/>
                <w:highlight w:val="cyan"/>
                <w:lang w:val="fr-FR"/>
              </w:rPr>
              <w:t xml:space="preserve">THA, </w:t>
            </w:r>
            <w:r w:rsidR="00401D9A" w:rsidRPr="004419D5">
              <w:rPr>
                <w:i/>
                <w:iCs/>
                <w:highlight w:val="cyan"/>
                <w:lang w:val="fr-FR"/>
              </w:rPr>
              <w:t>TON</w:t>
            </w:r>
          </w:p>
        </w:tc>
      </w:tr>
      <w:tr w:rsidR="00BB0281" w:rsidRPr="00866224" w14:paraId="651119B4" w14:textId="77777777" w:rsidTr="009A7D43">
        <w:tc>
          <w:tcPr>
            <w:tcW w:w="704" w:type="dxa"/>
            <w:vMerge/>
            <w:vAlign w:val="center"/>
          </w:tcPr>
          <w:p w14:paraId="7C209F21" w14:textId="77777777" w:rsidR="00BB0281" w:rsidRPr="004419D5" w:rsidRDefault="00BB0281" w:rsidP="00337CC0">
            <w:pPr>
              <w:spacing w:before="0"/>
              <w:jc w:val="center"/>
              <w:rPr>
                <w:i/>
                <w:iCs/>
                <w:highlight w:val="cyan"/>
                <w:lang w:val="fr-FR"/>
              </w:rPr>
            </w:pPr>
          </w:p>
        </w:tc>
        <w:tc>
          <w:tcPr>
            <w:tcW w:w="709" w:type="dxa"/>
          </w:tcPr>
          <w:p w14:paraId="0A85B3C5" w14:textId="5C13F6B0" w:rsidR="00BB0281" w:rsidRDefault="00BB0281" w:rsidP="00337CC0">
            <w:pPr>
              <w:spacing w:before="0"/>
              <w:jc w:val="center"/>
              <w:rPr>
                <w:i/>
                <w:iCs/>
                <w:highlight w:val="cyan"/>
                <w:lang w:val="fr-FR"/>
              </w:rPr>
            </w:pPr>
            <w:r>
              <w:rPr>
                <w:i/>
                <w:iCs/>
                <w:highlight w:val="cyan"/>
                <w:lang w:val="fr-FR"/>
              </w:rPr>
              <w:t>3</w:t>
            </w:r>
          </w:p>
        </w:tc>
        <w:tc>
          <w:tcPr>
            <w:tcW w:w="2812" w:type="dxa"/>
            <w:vAlign w:val="center"/>
          </w:tcPr>
          <w:p w14:paraId="464E4CEE" w14:textId="7B270214" w:rsidR="00BB0281" w:rsidRDefault="00BB0281" w:rsidP="00337CC0">
            <w:pPr>
              <w:spacing w:before="0"/>
              <w:jc w:val="center"/>
              <w:rPr>
                <w:i/>
                <w:iCs/>
                <w:highlight w:val="cyan"/>
                <w:lang w:val="fr-FR"/>
              </w:rPr>
            </w:pPr>
            <w:r>
              <w:rPr>
                <w:i/>
                <w:iCs/>
                <w:highlight w:val="cyan"/>
                <w:lang w:val="fr-FR"/>
              </w:rPr>
              <w:t>CEPT</w:t>
            </w:r>
          </w:p>
        </w:tc>
        <w:tc>
          <w:tcPr>
            <w:tcW w:w="3330" w:type="dxa"/>
            <w:vAlign w:val="center"/>
          </w:tcPr>
          <w:p w14:paraId="44EA216D" w14:textId="77777777" w:rsidR="00BB0281" w:rsidRPr="00866224" w:rsidRDefault="00BB0281" w:rsidP="00337CC0">
            <w:pPr>
              <w:spacing w:before="0"/>
              <w:jc w:val="center"/>
              <w:rPr>
                <w:i/>
                <w:iCs/>
                <w:highlight w:val="cyan"/>
              </w:rPr>
            </w:pPr>
          </w:p>
        </w:tc>
      </w:tr>
    </w:tbl>
    <w:p w14:paraId="70DB4DFB" w14:textId="3FACA7EE" w:rsidR="00891DBC" w:rsidRPr="00C02E2A" w:rsidRDefault="00891DBC" w:rsidP="00891DBC">
      <w:pPr>
        <w:rPr>
          <w:i/>
          <w:iCs/>
          <w:highlight w:val="cyan"/>
        </w:rPr>
      </w:pPr>
      <w:r w:rsidRPr="001143DE">
        <w:rPr>
          <w:i/>
          <w:iCs/>
          <w:highlight w:val="cyan"/>
        </w:rPr>
        <w:t>]</w:t>
      </w:r>
    </w:p>
    <w:p w14:paraId="55A44B68" w14:textId="06C3FBAA" w:rsidR="00C3474C" w:rsidRPr="00B06F11" w:rsidRDefault="00C3474C" w:rsidP="00C3474C">
      <w:pPr>
        <w:rPr>
          <w:i/>
          <w:iCs/>
          <w:highlight w:val="cyan"/>
        </w:rPr>
      </w:pPr>
      <w:r w:rsidRPr="006545EA">
        <w:rPr>
          <w:lang w:eastAsia="zh-CN"/>
        </w:rPr>
        <w:t xml:space="preserve">The following conditions for non-GSO </w:t>
      </w:r>
      <w:r w:rsidR="00B06F11" w:rsidRPr="00372CBC">
        <w:rPr>
          <w:i/>
          <w:iCs/>
          <w:highlight w:val="cyan"/>
          <w:lang w:eastAsia="zh-CN"/>
        </w:rPr>
        <w:t>[</w:t>
      </w:r>
      <w:r w:rsidR="00B06F11">
        <w:rPr>
          <w:i/>
          <w:iCs/>
          <w:highlight w:val="cyan"/>
          <w:lang w:eastAsia="zh-CN"/>
        </w:rPr>
        <w:t>Option</w:t>
      </w:r>
      <w:r w:rsidR="00B06F11" w:rsidRPr="00372CBC">
        <w:rPr>
          <w:i/>
          <w:iCs/>
          <w:highlight w:val="cyan"/>
          <w:lang w:eastAsia="zh-CN"/>
        </w:rPr>
        <w:t xml:space="preserve"> 1</w:t>
      </w:r>
      <w:r w:rsidR="00B06F11">
        <w:rPr>
          <w:i/>
          <w:iCs/>
          <w:highlight w:val="cyan"/>
          <w:lang w:eastAsia="zh-CN"/>
        </w:rPr>
        <w:t>6a</w:t>
      </w:r>
      <w:r w:rsidR="00B06F11" w:rsidRPr="00372CBC">
        <w:rPr>
          <w:i/>
          <w:iCs/>
          <w:highlight w:val="cyan"/>
          <w:lang w:eastAsia="zh-CN"/>
        </w:rPr>
        <w:t>:</w:t>
      </w:r>
      <w:r w:rsidR="00B06F11">
        <w:rPr>
          <w:i/>
          <w:iCs/>
          <w:lang w:eastAsia="zh-CN"/>
        </w:rPr>
        <w:t xml:space="preserve"> </w:t>
      </w:r>
      <w:r w:rsidRPr="006545EA">
        <w:t>ISS</w:t>
      </w:r>
      <w:r w:rsidR="00B06F11" w:rsidRPr="001143DE">
        <w:rPr>
          <w:i/>
          <w:iCs/>
          <w:highlight w:val="cyan"/>
        </w:rPr>
        <w:t>]</w:t>
      </w:r>
      <w:r w:rsidRPr="006545EA">
        <w:t xml:space="preserve"> </w:t>
      </w:r>
      <w:r w:rsidRPr="006545EA">
        <w:rPr>
          <w:lang w:eastAsia="zh-CN"/>
        </w:rPr>
        <w:t xml:space="preserve">space stations transmitting in the </w:t>
      </w:r>
      <w:r w:rsidRPr="006545EA">
        <w:t xml:space="preserve">frequency band </w:t>
      </w:r>
      <w:r w:rsidRPr="006545EA">
        <w:rPr>
          <w:lang w:eastAsia="zh-CN"/>
        </w:rPr>
        <w:t>27.5-30.0 GHz to protect non-GSO space stations shall apply:</w:t>
      </w:r>
    </w:p>
    <w:p w14:paraId="1AEDBFD2" w14:textId="2F65BF4C" w:rsidR="00C3474C" w:rsidRPr="006545EA" w:rsidRDefault="00C3474C" w:rsidP="00C3474C">
      <w:pPr>
        <w:pStyle w:val="enumlev1"/>
        <w:rPr>
          <w:lang w:eastAsia="zh-CN"/>
        </w:rPr>
      </w:pPr>
      <w:r w:rsidRPr="006545EA">
        <w:rPr>
          <w:i/>
          <w:iCs/>
          <w:lang w:eastAsia="zh-CN"/>
        </w:rPr>
        <w:t>a)</w:t>
      </w:r>
      <w:r w:rsidRPr="006545EA">
        <w:rPr>
          <w:lang w:eastAsia="zh-CN"/>
        </w:rPr>
        <w:tab/>
        <w:t xml:space="preserve">The emissions from any non-GSO </w:t>
      </w:r>
      <w:r w:rsidR="00B06F11" w:rsidRPr="00372CBC">
        <w:rPr>
          <w:i/>
          <w:iCs/>
          <w:highlight w:val="cyan"/>
          <w:lang w:eastAsia="zh-CN"/>
        </w:rPr>
        <w:t>[</w:t>
      </w:r>
      <w:r w:rsidR="00B06F11">
        <w:rPr>
          <w:i/>
          <w:iCs/>
          <w:highlight w:val="cyan"/>
          <w:lang w:eastAsia="zh-CN"/>
        </w:rPr>
        <w:t>Option</w:t>
      </w:r>
      <w:r w:rsidR="00B06F11" w:rsidRPr="00372CBC">
        <w:rPr>
          <w:i/>
          <w:iCs/>
          <w:highlight w:val="cyan"/>
          <w:lang w:eastAsia="zh-CN"/>
        </w:rPr>
        <w:t xml:space="preserve"> 1</w:t>
      </w:r>
      <w:r w:rsidR="00B06F11">
        <w:rPr>
          <w:i/>
          <w:iCs/>
          <w:highlight w:val="cyan"/>
          <w:lang w:eastAsia="zh-CN"/>
        </w:rPr>
        <w:t>6a</w:t>
      </w:r>
      <w:r w:rsidR="00B06F11" w:rsidRPr="00372CBC">
        <w:rPr>
          <w:i/>
          <w:iCs/>
          <w:highlight w:val="cyan"/>
          <w:lang w:eastAsia="zh-CN"/>
        </w:rPr>
        <w:t>:</w:t>
      </w:r>
      <w:r w:rsidR="00B06F11">
        <w:rPr>
          <w:i/>
          <w:iCs/>
          <w:lang w:eastAsia="zh-CN"/>
        </w:rPr>
        <w:t xml:space="preserve"> </w:t>
      </w:r>
      <w:r w:rsidR="00B06F11" w:rsidRPr="006545EA">
        <w:t>ISS</w:t>
      </w:r>
      <w:r w:rsidR="00B06F11" w:rsidRPr="001143DE">
        <w:rPr>
          <w:i/>
          <w:iCs/>
          <w:highlight w:val="cyan"/>
        </w:rPr>
        <w:t>]</w:t>
      </w:r>
      <w:r w:rsidRPr="006545EA">
        <w:rPr>
          <w:lang w:eastAsia="zh-CN"/>
        </w:rPr>
        <w:t xml:space="preserve"> </w:t>
      </w:r>
      <w:r w:rsidRPr="006545EA">
        <w:t>space</w:t>
      </w:r>
      <w:r w:rsidRPr="006545EA">
        <w:rPr>
          <w:lang w:eastAsia="zh-CN"/>
        </w:rPr>
        <w:t xml:space="preserve"> station transmitting in the </w:t>
      </w:r>
      <w:r w:rsidRPr="006545EA">
        <w:t xml:space="preserve">frequency bands </w:t>
      </w:r>
      <w:r w:rsidRPr="006545EA">
        <w:rPr>
          <w:lang w:eastAsia="zh-CN"/>
        </w:rPr>
        <w:t xml:space="preserve">27.5-29.1 GHz and 29.5-30 GHz to communicate with a GSO </w:t>
      </w:r>
      <w:r w:rsidR="0096637F" w:rsidRPr="00372CBC">
        <w:rPr>
          <w:i/>
          <w:iCs/>
          <w:highlight w:val="cyan"/>
          <w:lang w:eastAsia="zh-CN"/>
        </w:rPr>
        <w:t>[</w:t>
      </w:r>
      <w:r w:rsidR="0096637F">
        <w:rPr>
          <w:i/>
          <w:iCs/>
          <w:highlight w:val="cyan"/>
          <w:lang w:eastAsia="zh-CN"/>
        </w:rPr>
        <w:t>Option</w:t>
      </w:r>
      <w:r w:rsidR="0096637F" w:rsidRPr="00372CBC">
        <w:rPr>
          <w:i/>
          <w:iCs/>
          <w:highlight w:val="cyan"/>
          <w:lang w:eastAsia="zh-CN"/>
        </w:rPr>
        <w:t xml:space="preserve"> 1</w:t>
      </w:r>
      <w:r w:rsidR="0096637F">
        <w:rPr>
          <w:i/>
          <w:iCs/>
          <w:highlight w:val="cyan"/>
          <w:lang w:eastAsia="zh-CN"/>
        </w:rPr>
        <w:t>6b</w:t>
      </w:r>
      <w:r w:rsidR="0096637F" w:rsidRPr="00372CBC">
        <w:rPr>
          <w:i/>
          <w:iCs/>
          <w:highlight w:val="cyan"/>
          <w:lang w:eastAsia="zh-CN"/>
        </w:rPr>
        <w:t>:</w:t>
      </w:r>
      <w:r w:rsidR="0096637F">
        <w:rPr>
          <w:i/>
          <w:iCs/>
          <w:lang w:eastAsia="zh-CN"/>
        </w:rPr>
        <w:t xml:space="preserve"> </w:t>
      </w:r>
      <w:r w:rsidRPr="006545EA">
        <w:rPr>
          <w:lang w:eastAsia="zh-CN"/>
        </w:rPr>
        <w:t>FSS</w:t>
      </w:r>
      <w:r w:rsidR="0096637F" w:rsidRPr="001143DE">
        <w:rPr>
          <w:i/>
          <w:iCs/>
          <w:highlight w:val="cyan"/>
        </w:rPr>
        <w:t>]</w:t>
      </w:r>
      <w:r w:rsidRPr="006545EA">
        <w:rPr>
          <w:lang w:eastAsia="zh-CN"/>
        </w:rPr>
        <w:t xml:space="preserve"> network shall not exceed the following on-axis </w:t>
      </w:r>
      <w:proofErr w:type="spellStart"/>
      <w:r w:rsidRPr="006545EA">
        <w:rPr>
          <w:lang w:eastAsia="zh-CN"/>
        </w:rPr>
        <w:t>e.i.r.p</w:t>
      </w:r>
      <w:proofErr w:type="spellEnd"/>
      <w:r w:rsidRPr="006545EA">
        <w:rPr>
          <w:lang w:eastAsia="zh-CN"/>
        </w:rPr>
        <w:t xml:space="preserve">. spectral density limits: </w:t>
      </w:r>
    </w:p>
    <w:p w14:paraId="2DE48DCB" w14:textId="2C59B588" w:rsidR="00C3474C" w:rsidRPr="006545EA" w:rsidRDefault="00C3474C" w:rsidP="00C3474C">
      <w:pPr>
        <w:pStyle w:val="enumlev2"/>
      </w:pPr>
      <w:r w:rsidRPr="006545EA">
        <w:t>–</w:t>
      </w:r>
      <w:r w:rsidRPr="006545EA">
        <w:tab/>
        <w:t>for non-GSO space station transmit on-axis antenna gains greater than 40.6 </w:t>
      </w:r>
      <w:proofErr w:type="spellStart"/>
      <w:r w:rsidRPr="006545EA">
        <w:t>dBi</w:t>
      </w:r>
      <w:proofErr w:type="spellEnd"/>
      <w:r w:rsidRPr="006545EA">
        <w:t xml:space="preserve">: </w:t>
      </w:r>
      <w:r w:rsidR="0018090E" w:rsidRPr="00372CBC">
        <w:rPr>
          <w:i/>
          <w:iCs/>
          <w:highlight w:val="cyan"/>
          <w:lang w:eastAsia="zh-CN"/>
        </w:rPr>
        <w:t>[</w:t>
      </w:r>
      <w:r w:rsidR="0018090E">
        <w:rPr>
          <w:i/>
          <w:iCs/>
          <w:highlight w:val="cyan"/>
          <w:lang w:eastAsia="zh-CN"/>
        </w:rPr>
        <w:t>Alternative</w:t>
      </w:r>
      <w:r w:rsidR="0018090E" w:rsidRPr="00372CBC">
        <w:rPr>
          <w:i/>
          <w:iCs/>
          <w:highlight w:val="cyan"/>
          <w:lang w:eastAsia="zh-CN"/>
        </w:rPr>
        <w:t xml:space="preserve"> 1</w:t>
      </w:r>
      <w:r w:rsidR="0018090E">
        <w:rPr>
          <w:i/>
          <w:iCs/>
          <w:highlight w:val="cyan"/>
          <w:lang w:eastAsia="zh-CN"/>
        </w:rPr>
        <w:t>6a1</w:t>
      </w:r>
      <w:r w:rsidR="0018090E" w:rsidRPr="00372CBC">
        <w:rPr>
          <w:i/>
          <w:iCs/>
          <w:highlight w:val="cyan"/>
          <w:lang w:eastAsia="zh-CN"/>
        </w:rPr>
        <w:t>:</w:t>
      </w:r>
      <w:r w:rsidR="0018090E">
        <w:rPr>
          <w:i/>
          <w:iCs/>
          <w:lang w:eastAsia="zh-CN"/>
        </w:rPr>
        <w:t xml:space="preserve"> </w:t>
      </w:r>
      <w:r w:rsidRPr="00BC7004">
        <w:rPr>
          <w:highlight w:val="yellow"/>
        </w:rPr>
        <w:t>−17.5 dBW/Hz</w:t>
      </w:r>
      <w:r w:rsidR="00BC7004" w:rsidRPr="00BC7004">
        <w:rPr>
          <w:i/>
          <w:iCs/>
          <w:highlight w:val="cyan"/>
          <w:lang w:eastAsia="zh-CN"/>
        </w:rPr>
        <w:t xml:space="preserve"> </w:t>
      </w:r>
      <w:r w:rsidR="00BC7004">
        <w:rPr>
          <w:i/>
          <w:iCs/>
          <w:highlight w:val="cyan"/>
          <w:lang w:eastAsia="zh-CN"/>
        </w:rPr>
        <w:t>/ Alternative</w:t>
      </w:r>
      <w:r w:rsidR="00BC7004" w:rsidRPr="00372CBC">
        <w:rPr>
          <w:i/>
          <w:iCs/>
          <w:highlight w:val="cyan"/>
          <w:lang w:eastAsia="zh-CN"/>
        </w:rPr>
        <w:t xml:space="preserve"> 1</w:t>
      </w:r>
      <w:r w:rsidR="00BC7004">
        <w:rPr>
          <w:i/>
          <w:iCs/>
          <w:highlight w:val="cyan"/>
          <w:lang w:eastAsia="zh-CN"/>
        </w:rPr>
        <w:t>6a2</w:t>
      </w:r>
      <w:r w:rsidR="00BC7004" w:rsidRPr="00372CBC">
        <w:rPr>
          <w:i/>
          <w:iCs/>
          <w:highlight w:val="cyan"/>
          <w:lang w:eastAsia="zh-CN"/>
        </w:rPr>
        <w:t>:</w:t>
      </w:r>
      <w:r w:rsidR="000649DF">
        <w:rPr>
          <w:i/>
          <w:iCs/>
          <w:highlight w:val="cyan"/>
          <w:lang w:eastAsia="zh-CN"/>
        </w:rPr>
        <w:t xml:space="preserve"> </w:t>
      </w:r>
      <w:r w:rsidR="00DC0BF9" w:rsidRPr="00DC0BF9">
        <w:rPr>
          <w:highlight w:val="yellow"/>
          <w:lang w:eastAsia="zh-CN"/>
        </w:rPr>
        <w:t xml:space="preserve">52.5 dBW/10 </w:t>
      </w:r>
      <w:proofErr w:type="gramStart"/>
      <w:r w:rsidR="00DC0BF9" w:rsidRPr="00DC0BF9">
        <w:rPr>
          <w:highlight w:val="yellow"/>
          <w:lang w:eastAsia="zh-CN"/>
        </w:rPr>
        <w:t>MHz</w:t>
      </w:r>
      <w:r w:rsidR="00BC7004" w:rsidRPr="00DC0BF9">
        <w:rPr>
          <w:lang w:eastAsia="zh-CN"/>
        </w:rPr>
        <w:t xml:space="preserve"> </w:t>
      </w:r>
      <w:r w:rsidR="00BC7004" w:rsidRPr="00BC7004">
        <w:rPr>
          <w:i/>
          <w:iCs/>
          <w:highlight w:val="cyan"/>
          <w:lang w:eastAsia="zh-CN"/>
        </w:rPr>
        <w:t>]</w:t>
      </w:r>
      <w:proofErr w:type="gramEnd"/>
      <w:r w:rsidRPr="006545EA">
        <w:t>;</w:t>
      </w:r>
    </w:p>
    <w:p w14:paraId="3420688F" w14:textId="47363015" w:rsidR="00C3474C" w:rsidRPr="006545EA" w:rsidRDefault="00C3474C" w:rsidP="00C3474C">
      <w:pPr>
        <w:pStyle w:val="enumlev2"/>
      </w:pPr>
      <w:r w:rsidRPr="006545EA">
        <w:t>–</w:t>
      </w:r>
      <w:r w:rsidRPr="006545EA">
        <w:tab/>
        <w:t>for non-GSO space station transmit on-axis antenna gains less than 40.6 </w:t>
      </w:r>
      <w:proofErr w:type="spellStart"/>
      <w:r w:rsidRPr="006545EA">
        <w:t>dBi</w:t>
      </w:r>
      <w:proofErr w:type="spellEnd"/>
      <w:r w:rsidRPr="006545EA">
        <w:t xml:space="preserve">: </w:t>
      </w:r>
      <w:r w:rsidR="00306487" w:rsidRPr="00372CBC">
        <w:rPr>
          <w:i/>
          <w:iCs/>
          <w:highlight w:val="cyan"/>
          <w:lang w:eastAsia="zh-CN"/>
        </w:rPr>
        <w:t>[</w:t>
      </w:r>
      <w:r w:rsidR="00306487">
        <w:rPr>
          <w:i/>
          <w:iCs/>
          <w:highlight w:val="cyan"/>
          <w:lang w:eastAsia="zh-CN"/>
        </w:rPr>
        <w:t>Alternative</w:t>
      </w:r>
      <w:r w:rsidR="00306487" w:rsidRPr="00372CBC">
        <w:rPr>
          <w:i/>
          <w:iCs/>
          <w:highlight w:val="cyan"/>
          <w:lang w:eastAsia="zh-CN"/>
        </w:rPr>
        <w:t xml:space="preserve"> 1</w:t>
      </w:r>
      <w:r w:rsidR="00306487">
        <w:rPr>
          <w:i/>
          <w:iCs/>
          <w:highlight w:val="cyan"/>
          <w:lang w:eastAsia="zh-CN"/>
        </w:rPr>
        <w:t>6</w:t>
      </w:r>
      <w:r w:rsidR="001843C8">
        <w:rPr>
          <w:i/>
          <w:iCs/>
          <w:highlight w:val="cyan"/>
          <w:lang w:eastAsia="zh-CN"/>
        </w:rPr>
        <w:t>b</w:t>
      </w:r>
      <w:r w:rsidR="00306487">
        <w:rPr>
          <w:i/>
          <w:iCs/>
          <w:highlight w:val="cyan"/>
          <w:lang w:eastAsia="zh-CN"/>
        </w:rPr>
        <w:t>1</w:t>
      </w:r>
      <w:r w:rsidR="00306487" w:rsidRPr="00372CBC">
        <w:rPr>
          <w:i/>
          <w:iCs/>
          <w:highlight w:val="cyan"/>
          <w:lang w:eastAsia="zh-CN"/>
        </w:rPr>
        <w:t>:</w:t>
      </w:r>
      <w:r w:rsidR="00306487">
        <w:rPr>
          <w:i/>
          <w:iCs/>
          <w:lang w:eastAsia="zh-CN"/>
        </w:rPr>
        <w:t xml:space="preserve"> </w:t>
      </w:r>
      <w:r w:rsidR="00306487" w:rsidRPr="00BC7004">
        <w:rPr>
          <w:highlight w:val="yellow"/>
        </w:rPr>
        <w:t>−17.5</w:t>
      </w:r>
      <w:r w:rsidR="00306487" w:rsidRPr="001843C8">
        <w:rPr>
          <w:highlight w:val="yellow"/>
        </w:rPr>
        <w:t> − (40.6 – X) d</w:t>
      </w:r>
      <w:r w:rsidR="00306487" w:rsidRPr="00BC7004">
        <w:rPr>
          <w:highlight w:val="yellow"/>
        </w:rPr>
        <w:t>BW/Hz</w:t>
      </w:r>
      <w:r w:rsidR="00306487" w:rsidRPr="00BC7004">
        <w:rPr>
          <w:i/>
          <w:iCs/>
          <w:highlight w:val="cyan"/>
          <w:lang w:eastAsia="zh-CN"/>
        </w:rPr>
        <w:t xml:space="preserve"> </w:t>
      </w:r>
      <w:r w:rsidR="00306487">
        <w:rPr>
          <w:i/>
          <w:iCs/>
          <w:highlight w:val="cyan"/>
          <w:lang w:eastAsia="zh-CN"/>
        </w:rPr>
        <w:t>/ Alternative</w:t>
      </w:r>
      <w:r w:rsidR="00306487" w:rsidRPr="00372CBC">
        <w:rPr>
          <w:i/>
          <w:iCs/>
          <w:highlight w:val="cyan"/>
          <w:lang w:eastAsia="zh-CN"/>
        </w:rPr>
        <w:t xml:space="preserve"> 1</w:t>
      </w:r>
      <w:r w:rsidR="00306487">
        <w:rPr>
          <w:i/>
          <w:iCs/>
          <w:highlight w:val="cyan"/>
          <w:lang w:eastAsia="zh-CN"/>
        </w:rPr>
        <w:t>6</w:t>
      </w:r>
      <w:r w:rsidR="001843C8">
        <w:rPr>
          <w:i/>
          <w:iCs/>
          <w:highlight w:val="cyan"/>
          <w:lang w:eastAsia="zh-CN"/>
        </w:rPr>
        <w:t>b</w:t>
      </w:r>
      <w:r w:rsidR="00306487">
        <w:rPr>
          <w:i/>
          <w:iCs/>
          <w:highlight w:val="cyan"/>
          <w:lang w:eastAsia="zh-CN"/>
        </w:rPr>
        <w:t>2</w:t>
      </w:r>
      <w:r w:rsidR="00306487" w:rsidRPr="00372CBC">
        <w:rPr>
          <w:i/>
          <w:iCs/>
          <w:highlight w:val="cyan"/>
          <w:lang w:eastAsia="zh-CN"/>
        </w:rPr>
        <w:t>:</w:t>
      </w:r>
      <w:r w:rsidR="00306487" w:rsidRPr="00DC0BF9">
        <w:rPr>
          <w:highlight w:val="yellow"/>
          <w:lang w:eastAsia="zh-CN"/>
        </w:rPr>
        <w:t xml:space="preserve">52.5 </w:t>
      </w:r>
      <w:r w:rsidR="00306487" w:rsidRPr="001843C8">
        <w:rPr>
          <w:highlight w:val="yellow"/>
        </w:rPr>
        <w:t>− (40.6 – X) </w:t>
      </w:r>
      <w:r w:rsidR="00306487" w:rsidRPr="001843C8">
        <w:rPr>
          <w:highlight w:val="yellow"/>
          <w:lang w:eastAsia="zh-CN"/>
        </w:rPr>
        <w:t>dB</w:t>
      </w:r>
      <w:r w:rsidR="00306487" w:rsidRPr="00DC0BF9">
        <w:rPr>
          <w:highlight w:val="yellow"/>
          <w:lang w:eastAsia="zh-CN"/>
        </w:rPr>
        <w:t xml:space="preserve">W/10 </w:t>
      </w:r>
      <w:proofErr w:type="gramStart"/>
      <w:r w:rsidR="00306487" w:rsidRPr="00DC0BF9">
        <w:rPr>
          <w:highlight w:val="yellow"/>
          <w:lang w:eastAsia="zh-CN"/>
        </w:rPr>
        <w:t>MHz</w:t>
      </w:r>
      <w:r w:rsidR="00306487" w:rsidRPr="00DC0BF9">
        <w:rPr>
          <w:lang w:eastAsia="zh-CN"/>
        </w:rPr>
        <w:t xml:space="preserve"> </w:t>
      </w:r>
      <w:r w:rsidR="00306487" w:rsidRPr="00BC7004">
        <w:rPr>
          <w:i/>
          <w:iCs/>
          <w:highlight w:val="cyan"/>
          <w:lang w:eastAsia="zh-CN"/>
        </w:rPr>
        <w:t>]</w:t>
      </w:r>
      <w:proofErr w:type="gramEnd"/>
      <w:r w:rsidRPr="006545EA">
        <w:rPr>
          <w:spacing w:val="2"/>
          <w:lang w:eastAsia="zh-CN"/>
        </w:rPr>
        <w:t>;</w:t>
      </w:r>
    </w:p>
    <w:p w14:paraId="5A57F82F" w14:textId="77777777" w:rsidR="00C3474C" w:rsidRPr="006545EA" w:rsidRDefault="00C3474C" w:rsidP="00C3474C">
      <w:pPr>
        <w:pStyle w:val="enumlev2"/>
      </w:pPr>
      <w:r w:rsidRPr="006545EA">
        <w:tab/>
        <w:t xml:space="preserve">where X is the on-axis gain of the non-GSO space station antenna in </w:t>
      </w:r>
      <w:proofErr w:type="spellStart"/>
      <w:r w:rsidRPr="006545EA">
        <w:t>dBi</w:t>
      </w:r>
      <w:proofErr w:type="spellEnd"/>
      <w:r w:rsidRPr="006545EA">
        <w:t>.</w:t>
      </w:r>
    </w:p>
    <w:p w14:paraId="7BD912CA" w14:textId="77777777" w:rsidR="00C3474C" w:rsidRPr="006545EA" w:rsidRDefault="00C3474C" w:rsidP="00C3474C">
      <w:pPr>
        <w:pStyle w:val="enumlev1"/>
        <w:rPr>
          <w:lang w:eastAsia="zh-CN"/>
        </w:rPr>
      </w:pPr>
      <w:r w:rsidRPr="006545EA">
        <w:rPr>
          <w:i/>
          <w:iCs/>
          <w:lang w:eastAsia="zh-CN"/>
        </w:rPr>
        <w:t>b)</w:t>
      </w:r>
      <w:r w:rsidRPr="006545EA">
        <w:rPr>
          <w:lang w:eastAsia="zh-CN"/>
        </w:rPr>
        <w:tab/>
        <w:t>To protect FSS feeder links to non-GSO mobile-satellite service systems the following conditions for non-GSO space stations and systems transmitting in the frequency band 29.1-29.5 GHz shall apply:</w:t>
      </w:r>
    </w:p>
    <w:p w14:paraId="51B2C8EA" w14:textId="51036D89" w:rsidR="00C3474C" w:rsidRPr="006545EA" w:rsidRDefault="00C3474C" w:rsidP="00C3474C">
      <w:pPr>
        <w:pStyle w:val="enumlev2"/>
      </w:pPr>
      <w:r w:rsidRPr="006545EA">
        <w:lastRenderedPageBreak/>
        <w:t>–</w:t>
      </w:r>
      <w:r w:rsidRPr="006545EA">
        <w:tab/>
        <w:t xml:space="preserve">emissions from any non-GSO space station communicating with a GSO network shall not exceed a maximum power spectral density of </w:t>
      </w:r>
      <w:r w:rsidR="004116C8" w:rsidRPr="00372CBC">
        <w:rPr>
          <w:i/>
          <w:iCs/>
          <w:highlight w:val="cyan"/>
          <w:lang w:eastAsia="zh-CN"/>
        </w:rPr>
        <w:t>[</w:t>
      </w:r>
      <w:r w:rsidR="004116C8">
        <w:rPr>
          <w:i/>
          <w:iCs/>
          <w:highlight w:val="cyan"/>
          <w:lang w:eastAsia="zh-CN"/>
        </w:rPr>
        <w:t>Alternative</w:t>
      </w:r>
      <w:r w:rsidR="004116C8" w:rsidRPr="00372CBC">
        <w:rPr>
          <w:i/>
          <w:iCs/>
          <w:highlight w:val="cyan"/>
          <w:lang w:eastAsia="zh-CN"/>
        </w:rPr>
        <w:t xml:space="preserve"> 1</w:t>
      </w:r>
      <w:r w:rsidR="004116C8">
        <w:rPr>
          <w:i/>
          <w:iCs/>
          <w:highlight w:val="cyan"/>
          <w:lang w:eastAsia="zh-CN"/>
        </w:rPr>
        <w:t>6</w:t>
      </w:r>
      <w:r w:rsidR="00237823">
        <w:rPr>
          <w:i/>
          <w:iCs/>
          <w:highlight w:val="cyan"/>
          <w:lang w:eastAsia="zh-CN"/>
        </w:rPr>
        <w:t>c</w:t>
      </w:r>
      <w:r w:rsidR="004116C8">
        <w:rPr>
          <w:i/>
          <w:iCs/>
          <w:highlight w:val="cyan"/>
          <w:lang w:eastAsia="zh-CN"/>
        </w:rPr>
        <w:t>1</w:t>
      </w:r>
      <w:r w:rsidR="004116C8" w:rsidRPr="00372CBC">
        <w:rPr>
          <w:i/>
          <w:iCs/>
          <w:highlight w:val="cyan"/>
          <w:lang w:eastAsia="zh-CN"/>
        </w:rPr>
        <w:t>:</w:t>
      </w:r>
      <w:r w:rsidR="004116C8">
        <w:rPr>
          <w:i/>
          <w:iCs/>
          <w:lang w:eastAsia="zh-CN"/>
        </w:rPr>
        <w:t xml:space="preserve"> </w:t>
      </w:r>
      <w:r w:rsidR="00065BDD" w:rsidRPr="00AD3EA7">
        <w:rPr>
          <w:highlight w:val="yellow"/>
        </w:rPr>
        <w:t>−</w:t>
      </w:r>
      <w:r w:rsidRPr="00AD3EA7">
        <w:rPr>
          <w:highlight w:val="yellow"/>
        </w:rPr>
        <w:t>67</w:t>
      </w:r>
      <w:r w:rsidR="005E467E" w:rsidRPr="00AD3EA7">
        <w:rPr>
          <w:highlight w:val="cyan"/>
        </w:rPr>
        <w:t xml:space="preserve">/ </w:t>
      </w:r>
      <w:r w:rsidR="005E467E" w:rsidRPr="00AD3EA7">
        <w:rPr>
          <w:i/>
          <w:iCs/>
          <w:highlight w:val="cyan"/>
          <w:lang w:eastAsia="zh-CN"/>
        </w:rPr>
        <w:t>Alternative 16</w:t>
      </w:r>
      <w:r w:rsidR="005E467E">
        <w:rPr>
          <w:i/>
          <w:iCs/>
          <w:highlight w:val="cyan"/>
          <w:lang w:eastAsia="zh-CN"/>
        </w:rPr>
        <w:t>c</w:t>
      </w:r>
      <w:r w:rsidR="005E467E" w:rsidRPr="00AD3EA7">
        <w:rPr>
          <w:i/>
          <w:iCs/>
          <w:highlight w:val="cyan"/>
          <w:lang w:eastAsia="zh-CN"/>
        </w:rPr>
        <w:t>2:</w:t>
      </w:r>
      <w:r w:rsidR="005E467E" w:rsidRPr="00AD3EA7">
        <w:rPr>
          <w:i/>
          <w:iCs/>
          <w:highlight w:val="yellow"/>
          <w:lang w:eastAsia="zh-CN"/>
        </w:rPr>
        <w:t xml:space="preserve"> -6</w:t>
      </w:r>
      <w:r w:rsidR="005E467E">
        <w:rPr>
          <w:i/>
          <w:iCs/>
          <w:highlight w:val="yellow"/>
          <w:lang w:eastAsia="zh-CN"/>
        </w:rPr>
        <w:t>5</w:t>
      </w:r>
      <w:r w:rsidR="005E467E" w:rsidRPr="00AD3EA7">
        <w:rPr>
          <w:highlight w:val="cyan"/>
        </w:rPr>
        <w:t xml:space="preserve">/ </w:t>
      </w:r>
      <w:r w:rsidR="005E467E" w:rsidRPr="00AD3EA7">
        <w:rPr>
          <w:i/>
          <w:iCs/>
          <w:highlight w:val="cyan"/>
          <w:lang w:eastAsia="zh-CN"/>
        </w:rPr>
        <w:t>Alternative 16</w:t>
      </w:r>
      <w:r w:rsidR="005E467E">
        <w:rPr>
          <w:i/>
          <w:iCs/>
          <w:highlight w:val="cyan"/>
          <w:lang w:eastAsia="zh-CN"/>
        </w:rPr>
        <w:t>c3</w:t>
      </w:r>
      <w:r w:rsidR="005E467E" w:rsidRPr="00AD3EA7">
        <w:rPr>
          <w:i/>
          <w:iCs/>
          <w:highlight w:val="cyan"/>
          <w:lang w:eastAsia="zh-CN"/>
        </w:rPr>
        <w:t>:</w:t>
      </w:r>
      <w:r w:rsidR="005E467E" w:rsidRPr="00AD3EA7">
        <w:rPr>
          <w:i/>
          <w:iCs/>
          <w:highlight w:val="yellow"/>
          <w:lang w:eastAsia="zh-CN"/>
        </w:rPr>
        <w:t xml:space="preserve"> -</w:t>
      </w:r>
      <w:proofErr w:type="gramStart"/>
      <w:r w:rsidR="005E467E" w:rsidRPr="00AD3EA7">
        <w:rPr>
          <w:i/>
          <w:iCs/>
          <w:highlight w:val="yellow"/>
          <w:lang w:eastAsia="zh-CN"/>
        </w:rPr>
        <w:t>62</w:t>
      </w:r>
      <w:r w:rsidR="004116C8" w:rsidRPr="001143DE">
        <w:rPr>
          <w:i/>
          <w:iCs/>
          <w:highlight w:val="cyan"/>
        </w:rPr>
        <w:t>]</w:t>
      </w:r>
      <w:proofErr w:type="spellStart"/>
      <w:r w:rsidRPr="006545EA">
        <w:rPr>
          <w:vertAlign w:val="superscript"/>
        </w:rPr>
        <w:t>o</w:t>
      </w:r>
      <w:r w:rsidRPr="006545EA">
        <w:t>dBW</w:t>
      </w:r>
      <w:proofErr w:type="spellEnd"/>
      <w:proofErr w:type="gramEnd"/>
      <w:r w:rsidRPr="006545EA">
        <w:t>/Hz at the input of the antenna of the non-GSO space station;</w:t>
      </w:r>
    </w:p>
    <w:p w14:paraId="52D2AAD3" w14:textId="353025E0" w:rsidR="00C3474C" w:rsidRPr="006545EA" w:rsidRDefault="00C3474C" w:rsidP="00C3474C">
      <w:pPr>
        <w:pStyle w:val="enumlev2"/>
      </w:pPr>
      <w:r w:rsidRPr="006545EA">
        <w:t>–</w:t>
      </w:r>
      <w:r w:rsidRPr="006545EA">
        <w:tab/>
        <w:t xml:space="preserve">any non-GSO space station communicating with a GSO network shall have a minimum antenna diameter of 0.3 m whose gain </w:t>
      </w:r>
      <w:r w:rsidR="00251204">
        <w:t>[</w:t>
      </w:r>
      <w:r w:rsidR="00251204" w:rsidRPr="00E5522F">
        <w:rPr>
          <w:highlight w:val="cyan"/>
        </w:rPr>
        <w:t xml:space="preserve">Alternative </w:t>
      </w:r>
      <w:r w:rsidR="009E6F04" w:rsidRPr="00E5522F">
        <w:rPr>
          <w:highlight w:val="cyan"/>
        </w:rPr>
        <w:t>16</w:t>
      </w:r>
      <w:r w:rsidR="009A7D43">
        <w:rPr>
          <w:highlight w:val="cyan"/>
        </w:rPr>
        <w:t>d</w:t>
      </w:r>
      <w:r w:rsidR="00B63E0F" w:rsidRPr="00E5522F">
        <w:rPr>
          <w:highlight w:val="cyan"/>
        </w:rPr>
        <w:t>1:</w:t>
      </w:r>
      <w:r w:rsidR="00B63E0F">
        <w:t xml:space="preserve"> </w:t>
      </w:r>
      <w:r w:rsidR="00251204" w:rsidRPr="00E5522F">
        <w:rPr>
          <w:highlight w:val="yellow"/>
        </w:rPr>
        <w:t>sh</w:t>
      </w:r>
      <w:r w:rsidR="00E5522F">
        <w:rPr>
          <w:highlight w:val="yellow"/>
        </w:rPr>
        <w:t>all</w:t>
      </w:r>
      <w:r w:rsidR="00251204" w:rsidRPr="00E5522F">
        <w:rPr>
          <w:highlight w:val="cyan"/>
        </w:rPr>
        <w:t>/</w:t>
      </w:r>
      <w:r w:rsidR="007A2DB9">
        <w:rPr>
          <w:highlight w:val="cyan"/>
        </w:rPr>
        <w:t xml:space="preserve"> </w:t>
      </w:r>
      <w:r w:rsidR="00E5522F" w:rsidRPr="00E5522F">
        <w:rPr>
          <w:highlight w:val="cyan"/>
        </w:rPr>
        <w:t>Alternative 16</w:t>
      </w:r>
      <w:r w:rsidR="009A7D43">
        <w:rPr>
          <w:highlight w:val="cyan"/>
        </w:rPr>
        <w:t>d</w:t>
      </w:r>
      <w:r w:rsidR="00E5522F" w:rsidRPr="00E5522F">
        <w:rPr>
          <w:highlight w:val="cyan"/>
        </w:rPr>
        <w:t>2:</w:t>
      </w:r>
      <w:r w:rsidR="00E5522F">
        <w:t xml:space="preserve"> </w:t>
      </w:r>
      <w:r w:rsidRPr="00E5522F">
        <w:rPr>
          <w:highlight w:val="yellow"/>
        </w:rPr>
        <w:t>sh</w:t>
      </w:r>
      <w:r w:rsidR="00E5522F" w:rsidRPr="00E5522F">
        <w:rPr>
          <w:highlight w:val="yellow"/>
        </w:rPr>
        <w:t>ould</w:t>
      </w:r>
      <w:r w:rsidR="00251204">
        <w:t>]</w:t>
      </w:r>
      <w:r w:rsidRPr="006545EA">
        <w:t xml:space="preserve"> not exceed the gain envelope </w:t>
      </w:r>
      <w:r w:rsidR="000355E1">
        <w:t>[</w:t>
      </w:r>
      <w:r w:rsidR="000355E1" w:rsidRPr="00E5522F">
        <w:rPr>
          <w:highlight w:val="cyan"/>
        </w:rPr>
        <w:t>Alternative 16</w:t>
      </w:r>
      <w:r w:rsidR="000355E1">
        <w:rPr>
          <w:highlight w:val="cyan"/>
        </w:rPr>
        <w:t>d</w:t>
      </w:r>
      <w:r w:rsidR="000355E1" w:rsidRPr="00E5522F">
        <w:rPr>
          <w:highlight w:val="cyan"/>
        </w:rPr>
        <w:t>1:</w:t>
      </w:r>
      <w:r w:rsidR="000355E1">
        <w:t xml:space="preserve"> </w:t>
      </w:r>
      <w:r w:rsidR="000355E1">
        <w:rPr>
          <w:highlight w:val="yellow"/>
        </w:rPr>
        <w:t>in</w:t>
      </w:r>
      <w:r w:rsidR="000355E1" w:rsidRPr="00E5522F">
        <w:rPr>
          <w:highlight w:val="cyan"/>
        </w:rPr>
        <w:t>/</w:t>
      </w:r>
      <w:r w:rsidR="000355E1">
        <w:rPr>
          <w:highlight w:val="cyan"/>
        </w:rPr>
        <w:t xml:space="preserve"> </w:t>
      </w:r>
      <w:r w:rsidR="000355E1" w:rsidRPr="00E5522F">
        <w:rPr>
          <w:highlight w:val="cyan"/>
        </w:rPr>
        <w:t>Alternative 16</w:t>
      </w:r>
      <w:r w:rsidR="000355E1">
        <w:rPr>
          <w:highlight w:val="cyan"/>
        </w:rPr>
        <w:t>d</w:t>
      </w:r>
      <w:r w:rsidR="000355E1" w:rsidRPr="00E5522F">
        <w:rPr>
          <w:highlight w:val="cyan"/>
        </w:rPr>
        <w:t>2:</w:t>
      </w:r>
      <w:r w:rsidR="000355E1">
        <w:t xml:space="preserve"> </w:t>
      </w:r>
      <w:r w:rsidR="000355E1" w:rsidRPr="000355E1">
        <w:rPr>
          <w:highlight w:val="yellow"/>
        </w:rPr>
        <w:t>of</w:t>
      </w:r>
      <w:r w:rsidR="000355E1">
        <w:t>]</w:t>
      </w:r>
      <w:r w:rsidR="000355E1">
        <w:t xml:space="preserve"> </w:t>
      </w:r>
      <w:r w:rsidRPr="006545EA">
        <w:t>the most recent version of Recommendation ITU</w:t>
      </w:r>
      <w:r w:rsidRPr="006545EA">
        <w:noBreakHyphen/>
        <w:t>R S.</w:t>
      </w:r>
      <w:proofErr w:type="gramStart"/>
      <w:r w:rsidRPr="006545EA">
        <w:t>580;</w:t>
      </w:r>
      <w:proofErr w:type="gramEnd"/>
    </w:p>
    <w:p w14:paraId="76F0371E" w14:textId="1701717D" w:rsidR="00C3474C" w:rsidRPr="006545EA" w:rsidRDefault="00C3474C" w:rsidP="00C3474C">
      <w:pPr>
        <w:pStyle w:val="enumlev2"/>
      </w:pPr>
      <w:r w:rsidRPr="006545EA">
        <w:t>–</w:t>
      </w:r>
      <w:r w:rsidRPr="006545EA">
        <w:tab/>
      </w:r>
      <w:r w:rsidR="004F05EC" w:rsidRPr="00372CBC">
        <w:rPr>
          <w:i/>
          <w:iCs/>
          <w:highlight w:val="cyan"/>
          <w:lang w:eastAsia="zh-CN"/>
        </w:rPr>
        <w:t>[</w:t>
      </w:r>
      <w:r w:rsidR="004F05EC">
        <w:rPr>
          <w:i/>
          <w:iCs/>
          <w:highlight w:val="cyan"/>
          <w:lang w:eastAsia="zh-CN"/>
        </w:rPr>
        <w:t>Option</w:t>
      </w:r>
      <w:r w:rsidR="004F05EC" w:rsidRPr="00372CBC">
        <w:rPr>
          <w:i/>
          <w:iCs/>
          <w:highlight w:val="cyan"/>
          <w:lang w:eastAsia="zh-CN"/>
        </w:rPr>
        <w:t xml:space="preserve"> 1</w:t>
      </w:r>
      <w:r w:rsidR="004F05EC">
        <w:rPr>
          <w:i/>
          <w:iCs/>
          <w:highlight w:val="cyan"/>
          <w:lang w:eastAsia="zh-CN"/>
        </w:rPr>
        <w:t>6c</w:t>
      </w:r>
      <w:r w:rsidR="004F05EC" w:rsidRPr="00372CBC">
        <w:rPr>
          <w:i/>
          <w:iCs/>
          <w:highlight w:val="cyan"/>
          <w:lang w:eastAsia="zh-CN"/>
        </w:rPr>
        <w:t>:</w:t>
      </w:r>
      <w:r w:rsidR="004F05EC">
        <w:rPr>
          <w:i/>
          <w:iCs/>
          <w:lang w:eastAsia="zh-CN"/>
        </w:rPr>
        <w:t xml:space="preserve"> </w:t>
      </w:r>
      <w:r w:rsidRPr="006545EA">
        <w:t>non-GSO space stations communicating with a GSO network shall only operate in orbits with inclination between 80 and 100 degrees;</w:t>
      </w:r>
      <w:r w:rsidR="004F05EC" w:rsidRPr="001143DE">
        <w:rPr>
          <w:i/>
          <w:iCs/>
          <w:highlight w:val="cyan"/>
        </w:rPr>
        <w:t>]</w:t>
      </w:r>
    </w:p>
    <w:p w14:paraId="787F6B43" w14:textId="77777777" w:rsidR="00C3474C" w:rsidRPr="006545EA" w:rsidRDefault="00C3474C" w:rsidP="00C3474C">
      <w:pPr>
        <w:pStyle w:val="enumlev2"/>
      </w:pPr>
      <w:r w:rsidRPr="006545EA">
        <w:t>–</w:t>
      </w:r>
      <w:r w:rsidRPr="006545EA">
        <w:tab/>
        <w:t>non-GSO systems communicating with a GSO network shall not contain more than 100 satellites.</w:t>
      </w:r>
    </w:p>
    <w:p w14:paraId="48759E93" w14:textId="1B3C8911" w:rsidR="00DB4F87" w:rsidRDefault="00DB4F87" w:rsidP="00C3474C">
      <w:pPr>
        <w:pStyle w:val="enumlev1"/>
        <w:rPr>
          <w:i/>
          <w:iCs/>
          <w:lang w:eastAsia="zh-CN"/>
        </w:rPr>
      </w:pPr>
      <w:r w:rsidRPr="00372CBC">
        <w:rPr>
          <w:i/>
          <w:iCs/>
          <w:highlight w:val="cyan"/>
          <w:lang w:eastAsia="zh-CN"/>
        </w:rPr>
        <w:t>[</w:t>
      </w:r>
      <w:r w:rsidR="0012077B">
        <w:rPr>
          <w:i/>
          <w:iCs/>
          <w:highlight w:val="cyan"/>
          <w:lang w:eastAsia="zh-CN"/>
        </w:rPr>
        <w:t xml:space="preserve">CITEL </w:t>
      </w:r>
      <w:r>
        <w:rPr>
          <w:i/>
          <w:iCs/>
          <w:highlight w:val="cyan"/>
          <w:lang w:eastAsia="zh-CN"/>
        </w:rPr>
        <w:t>Alternative</w:t>
      </w:r>
      <w:r w:rsidRPr="00372CBC">
        <w:rPr>
          <w:i/>
          <w:iCs/>
          <w:highlight w:val="cyan"/>
          <w:lang w:eastAsia="zh-CN"/>
        </w:rPr>
        <w:t xml:space="preserve"> 1</w:t>
      </w:r>
      <w:r>
        <w:rPr>
          <w:i/>
          <w:iCs/>
          <w:highlight w:val="cyan"/>
          <w:lang w:eastAsia="zh-CN"/>
        </w:rPr>
        <w:t>6</w:t>
      </w:r>
      <w:r w:rsidR="009A7D43">
        <w:rPr>
          <w:i/>
          <w:iCs/>
          <w:highlight w:val="cyan"/>
          <w:lang w:eastAsia="zh-CN"/>
        </w:rPr>
        <w:t>e</w:t>
      </w:r>
      <w:r>
        <w:rPr>
          <w:i/>
          <w:iCs/>
          <w:highlight w:val="cyan"/>
          <w:lang w:eastAsia="zh-CN"/>
        </w:rPr>
        <w:t>1</w:t>
      </w:r>
      <w:r w:rsidRPr="00372CBC">
        <w:rPr>
          <w:i/>
          <w:iCs/>
          <w:highlight w:val="cyan"/>
          <w:lang w:eastAsia="zh-CN"/>
        </w:rPr>
        <w:t>:</w:t>
      </w:r>
    </w:p>
    <w:p w14:paraId="4B42E2CC" w14:textId="61A22A36" w:rsidR="00C3474C" w:rsidRPr="00807AF1" w:rsidRDefault="00C3474C" w:rsidP="00C3474C">
      <w:pPr>
        <w:pStyle w:val="enumlev1"/>
        <w:rPr>
          <w:highlight w:val="yellow"/>
        </w:rPr>
      </w:pPr>
      <w:r w:rsidRPr="00807AF1">
        <w:rPr>
          <w:i/>
          <w:iCs/>
          <w:highlight w:val="yellow"/>
        </w:rPr>
        <w:t>c)</w:t>
      </w:r>
      <w:r w:rsidRPr="00807AF1">
        <w:rPr>
          <w:i/>
          <w:iCs/>
          <w:highlight w:val="yellow"/>
        </w:rPr>
        <w:tab/>
      </w:r>
      <w:r w:rsidRPr="00807AF1">
        <w:rPr>
          <w:highlight w:val="yellow"/>
        </w:rPr>
        <w:t>Non-GSO space stations transmitting in the frequency bands 27.5-29.1 GHz and 29.5-30 GHz shall not operate at orbital altitudes greater than or equal to 900 km and less than 1350 km.</w:t>
      </w:r>
    </w:p>
    <w:p w14:paraId="600396E1" w14:textId="77777777" w:rsidR="00C3474C" w:rsidRPr="00807AF1" w:rsidRDefault="00C3474C" w:rsidP="00C3474C">
      <w:pPr>
        <w:pStyle w:val="enumlev1"/>
        <w:rPr>
          <w:highlight w:val="yellow"/>
        </w:rPr>
      </w:pPr>
      <w:r w:rsidRPr="00807AF1">
        <w:rPr>
          <w:i/>
          <w:iCs/>
          <w:highlight w:val="yellow"/>
          <w:lang w:eastAsia="zh-CN"/>
        </w:rPr>
        <w:t>d)</w:t>
      </w:r>
      <w:r w:rsidRPr="00807AF1">
        <w:rPr>
          <w:highlight w:val="yellow"/>
          <w:lang w:eastAsia="zh-CN"/>
        </w:rPr>
        <w:tab/>
        <w:t>The emissions from any</w:t>
      </w:r>
      <w:r w:rsidRPr="00807AF1">
        <w:rPr>
          <w:highlight w:val="yellow"/>
        </w:rPr>
        <w:t xml:space="preserve"> non-GSO space station transmitting in the frequency bands 27.5-29.1 GHz and 29.5-30 GHz to communicate with a non-GSO system with a minimum operational altitude higher than 2 000 km shall not exceed an on-axis </w:t>
      </w:r>
      <w:proofErr w:type="spellStart"/>
      <w:r w:rsidRPr="00807AF1">
        <w:rPr>
          <w:highlight w:val="yellow"/>
        </w:rPr>
        <w:t>e.i.r.p</w:t>
      </w:r>
      <w:proofErr w:type="spellEnd"/>
      <w:r w:rsidRPr="00807AF1">
        <w:rPr>
          <w:highlight w:val="yellow"/>
        </w:rPr>
        <w:t xml:space="preserve">. spectral density of −20 dBW/Hz and the total </w:t>
      </w:r>
      <w:proofErr w:type="spellStart"/>
      <w:r w:rsidRPr="00807AF1">
        <w:rPr>
          <w:highlight w:val="yellow"/>
        </w:rPr>
        <w:t>e.i.r.p</w:t>
      </w:r>
      <w:proofErr w:type="spellEnd"/>
      <w:r w:rsidRPr="00807AF1">
        <w:rPr>
          <w:highlight w:val="yellow"/>
        </w:rPr>
        <w:t>. from any non-GSO space station shall not exceed:</w:t>
      </w:r>
    </w:p>
    <w:p w14:paraId="04C02FBA" w14:textId="77777777" w:rsidR="00C3474C" w:rsidRPr="00807AF1" w:rsidDel="006831F1" w:rsidRDefault="00C3474C" w:rsidP="00C3474C">
      <w:pPr>
        <w:pStyle w:val="enumlev1"/>
        <w:rPr>
          <w:highlight w:val="yellow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41"/>
        <w:gridCol w:w="1710"/>
      </w:tblGrid>
      <w:tr w:rsidR="00C3474C" w:rsidRPr="00807AF1" w14:paraId="47F7907A" w14:textId="77777777">
        <w:trPr>
          <w:jc w:val="center"/>
        </w:trPr>
        <w:tc>
          <w:tcPr>
            <w:tcW w:w="2641" w:type="dxa"/>
            <w:vAlign w:val="center"/>
          </w:tcPr>
          <w:p w14:paraId="5BF39AF5" w14:textId="77777777" w:rsidR="00C3474C" w:rsidRPr="00807AF1" w:rsidRDefault="00C3474C" w:rsidP="004D1753">
            <w:pPr>
              <w:pStyle w:val="Tablehead"/>
              <w:rPr>
                <w:highlight w:val="yellow"/>
              </w:rPr>
            </w:pPr>
            <w:r w:rsidRPr="00807AF1">
              <w:rPr>
                <w:highlight w:val="yellow"/>
              </w:rPr>
              <w:t>Transmitting non-GSO space station operational altitude (km)</w:t>
            </w:r>
          </w:p>
        </w:tc>
        <w:tc>
          <w:tcPr>
            <w:tcW w:w="1710" w:type="dxa"/>
            <w:vAlign w:val="center"/>
          </w:tcPr>
          <w:p w14:paraId="2B8C7F2C" w14:textId="77777777" w:rsidR="00C3474C" w:rsidRPr="00807AF1" w:rsidRDefault="00C3474C" w:rsidP="004D1753">
            <w:pPr>
              <w:pStyle w:val="Tablehead"/>
              <w:rPr>
                <w:highlight w:val="yellow"/>
              </w:rPr>
            </w:pPr>
            <w:r w:rsidRPr="00807AF1">
              <w:rPr>
                <w:highlight w:val="yellow"/>
              </w:rPr>
              <w:t xml:space="preserve">Maximum total </w:t>
            </w:r>
            <w:proofErr w:type="spellStart"/>
            <w:r w:rsidRPr="00807AF1">
              <w:rPr>
                <w:highlight w:val="yellow"/>
              </w:rPr>
              <w:t>e.i.r.p</w:t>
            </w:r>
            <w:proofErr w:type="spellEnd"/>
            <w:r w:rsidRPr="00807AF1">
              <w:rPr>
                <w:highlight w:val="yellow"/>
              </w:rPr>
              <w:t>. (dBW)</w:t>
            </w:r>
          </w:p>
        </w:tc>
      </w:tr>
      <w:tr w:rsidR="00C3474C" w:rsidRPr="00807AF1" w14:paraId="78E6D008" w14:textId="77777777">
        <w:trPr>
          <w:jc w:val="center"/>
        </w:trPr>
        <w:tc>
          <w:tcPr>
            <w:tcW w:w="2641" w:type="dxa"/>
            <w:vAlign w:val="center"/>
          </w:tcPr>
          <w:p w14:paraId="7F6E7BD2" w14:textId="77777777" w:rsidR="00C3474C" w:rsidRPr="00807AF1" w:rsidRDefault="00C3474C" w:rsidP="004D1753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altitude &lt; 450</w:t>
            </w:r>
          </w:p>
        </w:tc>
        <w:tc>
          <w:tcPr>
            <w:tcW w:w="1710" w:type="dxa"/>
            <w:vAlign w:val="center"/>
          </w:tcPr>
          <w:p w14:paraId="4C912FE2" w14:textId="77777777" w:rsidR="00C3474C" w:rsidRPr="00807AF1" w:rsidRDefault="00C3474C" w:rsidP="004D1753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63</w:t>
            </w:r>
          </w:p>
        </w:tc>
      </w:tr>
      <w:tr w:rsidR="00C3474C" w:rsidRPr="00807AF1" w14:paraId="722987D5" w14:textId="77777777">
        <w:trPr>
          <w:jc w:val="center"/>
        </w:trPr>
        <w:tc>
          <w:tcPr>
            <w:tcW w:w="2641" w:type="dxa"/>
            <w:vAlign w:val="center"/>
          </w:tcPr>
          <w:p w14:paraId="49C7C86E" w14:textId="77777777" w:rsidR="00C3474C" w:rsidRPr="00807AF1" w:rsidRDefault="00C3474C" w:rsidP="004D1753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450 ≤ altitude &lt; 600</w:t>
            </w:r>
          </w:p>
        </w:tc>
        <w:tc>
          <w:tcPr>
            <w:tcW w:w="1710" w:type="dxa"/>
            <w:vAlign w:val="center"/>
          </w:tcPr>
          <w:p w14:paraId="1060F1D1" w14:textId="77777777" w:rsidR="00C3474C" w:rsidRPr="00807AF1" w:rsidRDefault="00C3474C" w:rsidP="004D1753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61</w:t>
            </w:r>
          </w:p>
        </w:tc>
      </w:tr>
      <w:tr w:rsidR="00C3474C" w:rsidRPr="00807AF1" w14:paraId="393D42E5" w14:textId="77777777">
        <w:trPr>
          <w:jc w:val="center"/>
        </w:trPr>
        <w:tc>
          <w:tcPr>
            <w:tcW w:w="2641" w:type="dxa"/>
            <w:vAlign w:val="center"/>
          </w:tcPr>
          <w:p w14:paraId="3E4CFD53" w14:textId="77777777" w:rsidR="00C3474C" w:rsidRPr="00807AF1" w:rsidRDefault="00C3474C" w:rsidP="004D1753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600 ≤ altitude &lt; 750</w:t>
            </w:r>
          </w:p>
        </w:tc>
        <w:tc>
          <w:tcPr>
            <w:tcW w:w="1710" w:type="dxa"/>
            <w:vAlign w:val="center"/>
          </w:tcPr>
          <w:p w14:paraId="2A9F383D" w14:textId="77777777" w:rsidR="00C3474C" w:rsidRPr="00807AF1" w:rsidRDefault="00C3474C" w:rsidP="004D1753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58</w:t>
            </w:r>
          </w:p>
        </w:tc>
      </w:tr>
      <w:tr w:rsidR="00C3474C" w:rsidRPr="00807AF1" w14:paraId="788C060B" w14:textId="77777777">
        <w:trPr>
          <w:jc w:val="center"/>
        </w:trPr>
        <w:tc>
          <w:tcPr>
            <w:tcW w:w="2641" w:type="dxa"/>
            <w:vAlign w:val="center"/>
          </w:tcPr>
          <w:p w14:paraId="7E3C10A5" w14:textId="77777777" w:rsidR="00C3474C" w:rsidRPr="00807AF1" w:rsidRDefault="00C3474C" w:rsidP="004D1753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750 ≤ altitude &lt; 900</w:t>
            </w:r>
          </w:p>
        </w:tc>
        <w:tc>
          <w:tcPr>
            <w:tcW w:w="1710" w:type="dxa"/>
            <w:vAlign w:val="center"/>
          </w:tcPr>
          <w:p w14:paraId="615798C1" w14:textId="77777777" w:rsidR="00C3474C" w:rsidRPr="00807AF1" w:rsidRDefault="00C3474C" w:rsidP="004D1753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55</w:t>
            </w:r>
          </w:p>
        </w:tc>
      </w:tr>
      <w:tr w:rsidR="00C3474C" w:rsidRPr="00807AF1" w14:paraId="33A36702" w14:textId="77777777">
        <w:trPr>
          <w:jc w:val="center"/>
        </w:trPr>
        <w:tc>
          <w:tcPr>
            <w:tcW w:w="2641" w:type="dxa"/>
            <w:vAlign w:val="center"/>
          </w:tcPr>
          <w:p w14:paraId="2ED0BD59" w14:textId="6876838F" w:rsidR="00C3474C" w:rsidRPr="00807AF1" w:rsidRDefault="00C3474C" w:rsidP="004D1753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altitude ≥ 1</w:t>
            </w:r>
            <w:r w:rsidR="004D1753" w:rsidRPr="00807AF1">
              <w:rPr>
                <w:highlight w:val="yellow"/>
              </w:rPr>
              <w:t> </w:t>
            </w:r>
            <w:r w:rsidRPr="00807AF1">
              <w:rPr>
                <w:highlight w:val="yellow"/>
              </w:rPr>
              <w:t>350</w:t>
            </w:r>
          </w:p>
        </w:tc>
        <w:tc>
          <w:tcPr>
            <w:tcW w:w="1710" w:type="dxa"/>
            <w:vAlign w:val="center"/>
          </w:tcPr>
          <w:p w14:paraId="18FCC1CC" w14:textId="77777777" w:rsidR="00C3474C" w:rsidRPr="00807AF1" w:rsidRDefault="00C3474C" w:rsidP="004D1753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N/A</w:t>
            </w:r>
          </w:p>
        </w:tc>
      </w:tr>
    </w:tbl>
    <w:p w14:paraId="1EB37E89" w14:textId="77777777" w:rsidR="00C3474C" w:rsidRPr="00807AF1" w:rsidRDefault="00C3474C" w:rsidP="00F927EF">
      <w:pPr>
        <w:pStyle w:val="Tablefin"/>
        <w:rPr>
          <w:highlight w:val="yellow"/>
        </w:rPr>
      </w:pPr>
    </w:p>
    <w:p w14:paraId="670A1A32" w14:textId="0AEB195C" w:rsidR="00C3474C" w:rsidRPr="00807AF1" w:rsidRDefault="00C3474C" w:rsidP="00C3474C">
      <w:pPr>
        <w:pStyle w:val="enumlev1"/>
        <w:rPr>
          <w:highlight w:val="yellow"/>
        </w:rPr>
      </w:pPr>
      <w:r w:rsidRPr="00807AF1">
        <w:rPr>
          <w:i/>
          <w:iCs/>
          <w:highlight w:val="yellow"/>
          <w:lang w:eastAsia="zh-CN"/>
        </w:rPr>
        <w:t>e)</w:t>
      </w:r>
      <w:r w:rsidRPr="00807AF1">
        <w:rPr>
          <w:highlight w:val="yellow"/>
          <w:lang w:eastAsia="zh-CN"/>
        </w:rPr>
        <w:tab/>
        <w:t>The emissions from any</w:t>
      </w:r>
      <w:r w:rsidRPr="00807AF1">
        <w:rPr>
          <w:highlight w:val="yellow"/>
        </w:rPr>
        <w:t xml:space="preserve"> non-GSO space station transmitting in the frequency bands 27.5-29.1 GHz and 29.5-30 GHz to communicate with a non-GSO system with a minimum operational altitude lower than 2 000 km shall not exceed an on-axis </w:t>
      </w:r>
      <w:proofErr w:type="spellStart"/>
      <w:r w:rsidRPr="00807AF1">
        <w:rPr>
          <w:highlight w:val="yellow"/>
        </w:rPr>
        <w:t>e.i.r.p</w:t>
      </w:r>
      <w:proofErr w:type="spellEnd"/>
      <w:r w:rsidRPr="00807AF1">
        <w:rPr>
          <w:highlight w:val="yellow"/>
        </w:rPr>
        <w:t xml:space="preserve">. spectral density of </w:t>
      </w:r>
      <w:r w:rsidR="002E1DD2" w:rsidRPr="00807AF1">
        <w:rPr>
          <w:highlight w:val="yellow"/>
        </w:rPr>
        <w:t>−</w:t>
      </w:r>
      <w:r w:rsidRPr="00807AF1">
        <w:rPr>
          <w:highlight w:val="yellow"/>
        </w:rPr>
        <w:t>28</w:t>
      </w:r>
      <w:r w:rsidR="002E1DD2" w:rsidRPr="00807AF1">
        <w:rPr>
          <w:highlight w:val="yellow"/>
        </w:rPr>
        <w:t> </w:t>
      </w:r>
      <w:r w:rsidRPr="00807AF1">
        <w:rPr>
          <w:highlight w:val="yellow"/>
        </w:rPr>
        <w:t xml:space="preserve">dBW/Hz and the total </w:t>
      </w:r>
      <w:proofErr w:type="spellStart"/>
      <w:r w:rsidRPr="00807AF1">
        <w:rPr>
          <w:highlight w:val="yellow"/>
        </w:rPr>
        <w:t>e.i.r.p</w:t>
      </w:r>
      <w:proofErr w:type="spellEnd"/>
      <w:r w:rsidRPr="00807AF1">
        <w:rPr>
          <w:highlight w:val="yellow"/>
        </w:rPr>
        <w:t>. from any non-GSO space station shall not exceed:</w:t>
      </w:r>
    </w:p>
    <w:p w14:paraId="67075AA4" w14:textId="77777777" w:rsidR="004D1753" w:rsidRPr="00807AF1" w:rsidRDefault="004D1753" w:rsidP="00C3474C">
      <w:pPr>
        <w:pStyle w:val="enumlev1"/>
        <w:rPr>
          <w:highlight w:val="yellow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41"/>
        <w:gridCol w:w="1710"/>
      </w:tblGrid>
      <w:tr w:rsidR="00C3474C" w:rsidRPr="00807AF1" w14:paraId="6F89CD59" w14:textId="77777777">
        <w:trPr>
          <w:jc w:val="center"/>
        </w:trPr>
        <w:tc>
          <w:tcPr>
            <w:tcW w:w="2641" w:type="dxa"/>
            <w:vAlign w:val="center"/>
          </w:tcPr>
          <w:p w14:paraId="099BD47F" w14:textId="77777777" w:rsidR="00C3474C" w:rsidRPr="00807AF1" w:rsidRDefault="00C3474C" w:rsidP="004D1753">
            <w:pPr>
              <w:pStyle w:val="Tablehead"/>
              <w:rPr>
                <w:highlight w:val="yellow"/>
              </w:rPr>
            </w:pPr>
            <w:r w:rsidRPr="00807AF1">
              <w:rPr>
                <w:highlight w:val="yellow"/>
              </w:rPr>
              <w:t>Transmitting non-GSO space station operational altitude (km)</w:t>
            </w:r>
          </w:p>
        </w:tc>
        <w:tc>
          <w:tcPr>
            <w:tcW w:w="1710" w:type="dxa"/>
            <w:vAlign w:val="center"/>
          </w:tcPr>
          <w:p w14:paraId="3A33C7EE" w14:textId="77777777" w:rsidR="00C3474C" w:rsidRPr="00807AF1" w:rsidRDefault="00C3474C" w:rsidP="004D1753">
            <w:pPr>
              <w:pStyle w:val="Tablehead"/>
              <w:rPr>
                <w:highlight w:val="yellow"/>
              </w:rPr>
            </w:pPr>
            <w:r w:rsidRPr="00807AF1">
              <w:rPr>
                <w:highlight w:val="yellow"/>
              </w:rPr>
              <w:t xml:space="preserve">Maximum total </w:t>
            </w:r>
            <w:proofErr w:type="spellStart"/>
            <w:r w:rsidRPr="00807AF1">
              <w:rPr>
                <w:highlight w:val="yellow"/>
              </w:rPr>
              <w:t>e.i.r.p</w:t>
            </w:r>
            <w:proofErr w:type="spellEnd"/>
            <w:r w:rsidRPr="00807AF1">
              <w:rPr>
                <w:highlight w:val="yellow"/>
              </w:rPr>
              <w:t>. (dBW)</w:t>
            </w:r>
          </w:p>
        </w:tc>
      </w:tr>
      <w:tr w:rsidR="00C3474C" w:rsidRPr="00807AF1" w14:paraId="50894AD5" w14:textId="77777777">
        <w:trPr>
          <w:jc w:val="center"/>
        </w:trPr>
        <w:tc>
          <w:tcPr>
            <w:tcW w:w="2641" w:type="dxa"/>
            <w:vAlign w:val="center"/>
          </w:tcPr>
          <w:p w14:paraId="1497D203" w14:textId="5198B2C4" w:rsidR="00C3474C" w:rsidRPr="00807AF1" w:rsidRDefault="004D1753" w:rsidP="004D1753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a</w:t>
            </w:r>
            <w:r w:rsidR="00C3474C" w:rsidRPr="00807AF1">
              <w:rPr>
                <w:highlight w:val="yellow"/>
              </w:rPr>
              <w:t>ltitude &lt;</w:t>
            </w:r>
            <w:r w:rsidRPr="00807AF1">
              <w:rPr>
                <w:highlight w:val="yellow"/>
              </w:rPr>
              <w:t xml:space="preserve"> </w:t>
            </w:r>
            <w:r w:rsidR="00C3474C" w:rsidRPr="00807AF1">
              <w:rPr>
                <w:highlight w:val="yellow"/>
              </w:rPr>
              <w:t>375</w:t>
            </w:r>
          </w:p>
        </w:tc>
        <w:tc>
          <w:tcPr>
            <w:tcW w:w="1710" w:type="dxa"/>
            <w:vAlign w:val="center"/>
          </w:tcPr>
          <w:p w14:paraId="1F60682D" w14:textId="77777777" w:rsidR="00C3474C" w:rsidRPr="00807AF1" w:rsidRDefault="00C3474C" w:rsidP="004D1753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61</w:t>
            </w:r>
          </w:p>
        </w:tc>
      </w:tr>
      <w:tr w:rsidR="00C3474C" w:rsidRPr="00807AF1" w14:paraId="179C52C1" w14:textId="77777777">
        <w:trPr>
          <w:jc w:val="center"/>
        </w:trPr>
        <w:tc>
          <w:tcPr>
            <w:tcW w:w="2641" w:type="dxa"/>
            <w:vAlign w:val="center"/>
          </w:tcPr>
          <w:p w14:paraId="3E08A7F8" w14:textId="77777777" w:rsidR="00C3474C" w:rsidRPr="00807AF1" w:rsidRDefault="00C3474C" w:rsidP="004D1753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375≤ altitude &lt; 450</w:t>
            </w:r>
          </w:p>
        </w:tc>
        <w:tc>
          <w:tcPr>
            <w:tcW w:w="1710" w:type="dxa"/>
            <w:vAlign w:val="center"/>
          </w:tcPr>
          <w:p w14:paraId="6D209FB8" w14:textId="77777777" w:rsidR="00C3474C" w:rsidRPr="00807AF1" w:rsidRDefault="00C3474C" w:rsidP="004D1753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60</w:t>
            </w:r>
          </w:p>
        </w:tc>
      </w:tr>
      <w:tr w:rsidR="00C3474C" w:rsidRPr="00807AF1" w14:paraId="4880EACE" w14:textId="77777777">
        <w:trPr>
          <w:jc w:val="center"/>
        </w:trPr>
        <w:tc>
          <w:tcPr>
            <w:tcW w:w="2641" w:type="dxa"/>
            <w:vAlign w:val="center"/>
          </w:tcPr>
          <w:p w14:paraId="631F61CB" w14:textId="77777777" w:rsidR="00C3474C" w:rsidRPr="00807AF1" w:rsidRDefault="00C3474C" w:rsidP="004D1753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450 ≤ altitude &lt; 600</w:t>
            </w:r>
          </w:p>
        </w:tc>
        <w:tc>
          <w:tcPr>
            <w:tcW w:w="1710" w:type="dxa"/>
            <w:vAlign w:val="center"/>
          </w:tcPr>
          <w:p w14:paraId="45F7A4FA" w14:textId="77777777" w:rsidR="00C3474C" w:rsidRPr="00807AF1" w:rsidRDefault="00C3474C" w:rsidP="004D1753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58</w:t>
            </w:r>
          </w:p>
        </w:tc>
      </w:tr>
      <w:tr w:rsidR="00C3474C" w:rsidRPr="00807AF1" w14:paraId="65126B87" w14:textId="77777777">
        <w:trPr>
          <w:jc w:val="center"/>
        </w:trPr>
        <w:tc>
          <w:tcPr>
            <w:tcW w:w="2641" w:type="dxa"/>
            <w:vAlign w:val="center"/>
          </w:tcPr>
          <w:p w14:paraId="14BCAE77" w14:textId="77777777" w:rsidR="00C3474C" w:rsidRPr="00807AF1" w:rsidRDefault="00C3474C" w:rsidP="004D1753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600 ≤ altitude &lt; 750</w:t>
            </w:r>
          </w:p>
        </w:tc>
        <w:tc>
          <w:tcPr>
            <w:tcW w:w="1710" w:type="dxa"/>
            <w:vAlign w:val="center"/>
          </w:tcPr>
          <w:p w14:paraId="257DC59A" w14:textId="77777777" w:rsidR="00C3474C" w:rsidRPr="00807AF1" w:rsidRDefault="00C3474C" w:rsidP="004D1753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55</w:t>
            </w:r>
          </w:p>
        </w:tc>
      </w:tr>
      <w:tr w:rsidR="00C3474C" w:rsidRPr="00807AF1" w14:paraId="5EA5396A" w14:textId="77777777">
        <w:trPr>
          <w:jc w:val="center"/>
        </w:trPr>
        <w:tc>
          <w:tcPr>
            <w:tcW w:w="2641" w:type="dxa"/>
            <w:vAlign w:val="center"/>
          </w:tcPr>
          <w:p w14:paraId="0EB3F7EE" w14:textId="77777777" w:rsidR="00C3474C" w:rsidRPr="00807AF1" w:rsidRDefault="00C3474C" w:rsidP="004D1753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750 ≤ altitude &lt; 900</w:t>
            </w:r>
          </w:p>
        </w:tc>
        <w:tc>
          <w:tcPr>
            <w:tcW w:w="1710" w:type="dxa"/>
            <w:vAlign w:val="center"/>
          </w:tcPr>
          <w:p w14:paraId="293B2FCB" w14:textId="77777777" w:rsidR="00C3474C" w:rsidRPr="00807AF1" w:rsidRDefault="00C3474C" w:rsidP="004D1753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53</w:t>
            </w:r>
          </w:p>
        </w:tc>
      </w:tr>
      <w:tr w:rsidR="00C3474C" w:rsidRPr="006545EA" w14:paraId="0C3CD22F" w14:textId="77777777">
        <w:trPr>
          <w:jc w:val="center"/>
        </w:trPr>
        <w:tc>
          <w:tcPr>
            <w:tcW w:w="2641" w:type="dxa"/>
            <w:vAlign w:val="center"/>
          </w:tcPr>
          <w:p w14:paraId="039879F8" w14:textId="6A0EDDB8" w:rsidR="00C3474C" w:rsidRPr="00807AF1" w:rsidRDefault="00C3474C" w:rsidP="004D1753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altitude ≥ 1 290/1</w:t>
            </w:r>
            <w:r w:rsidR="004D1753" w:rsidRPr="00807AF1">
              <w:rPr>
                <w:highlight w:val="yellow"/>
              </w:rPr>
              <w:t> </w:t>
            </w:r>
            <w:r w:rsidRPr="00807AF1">
              <w:rPr>
                <w:highlight w:val="yellow"/>
              </w:rPr>
              <w:t>350</w:t>
            </w:r>
          </w:p>
        </w:tc>
        <w:tc>
          <w:tcPr>
            <w:tcW w:w="1710" w:type="dxa"/>
            <w:vAlign w:val="center"/>
          </w:tcPr>
          <w:p w14:paraId="0B8BC623" w14:textId="77777777" w:rsidR="00C3474C" w:rsidRPr="006545EA" w:rsidRDefault="00C3474C" w:rsidP="004D1753">
            <w:pPr>
              <w:pStyle w:val="Tabletext"/>
              <w:jc w:val="center"/>
            </w:pPr>
            <w:r w:rsidRPr="00807AF1">
              <w:rPr>
                <w:highlight w:val="yellow"/>
              </w:rPr>
              <w:t>N/A</w:t>
            </w:r>
          </w:p>
        </w:tc>
      </w:tr>
    </w:tbl>
    <w:p w14:paraId="145801A9" w14:textId="36FE630A" w:rsidR="00C3474C" w:rsidRDefault="00807AF1" w:rsidP="00F927EF">
      <w:pPr>
        <w:pStyle w:val="Tablefin"/>
        <w:rPr>
          <w:i/>
          <w:iCs/>
        </w:rPr>
      </w:pPr>
      <w:r w:rsidRPr="00F14E35">
        <w:rPr>
          <w:i/>
          <w:iCs/>
          <w:highlight w:val="cyan"/>
        </w:rPr>
        <w:lastRenderedPageBreak/>
        <w:t>]</w:t>
      </w:r>
    </w:p>
    <w:p w14:paraId="4F677FB0" w14:textId="00095193" w:rsidR="00807AF1" w:rsidRDefault="00807AF1" w:rsidP="00807AF1">
      <w:pPr>
        <w:pStyle w:val="enumlev1"/>
        <w:rPr>
          <w:i/>
          <w:iCs/>
          <w:lang w:eastAsia="zh-CN"/>
        </w:rPr>
      </w:pPr>
      <w:r w:rsidRPr="00372CBC">
        <w:rPr>
          <w:i/>
          <w:iCs/>
          <w:highlight w:val="cyan"/>
          <w:lang w:eastAsia="zh-CN"/>
        </w:rPr>
        <w:t>[</w:t>
      </w:r>
      <w:r w:rsidR="0012077B">
        <w:rPr>
          <w:i/>
          <w:iCs/>
          <w:highlight w:val="cyan"/>
          <w:lang w:eastAsia="zh-CN"/>
        </w:rPr>
        <w:t xml:space="preserve">CEPT </w:t>
      </w:r>
      <w:r>
        <w:rPr>
          <w:i/>
          <w:iCs/>
          <w:highlight w:val="cyan"/>
          <w:lang w:eastAsia="zh-CN"/>
        </w:rPr>
        <w:t>Alternative</w:t>
      </w:r>
      <w:r w:rsidRPr="00372CBC">
        <w:rPr>
          <w:i/>
          <w:iCs/>
          <w:highlight w:val="cyan"/>
          <w:lang w:eastAsia="zh-CN"/>
        </w:rPr>
        <w:t xml:space="preserve"> 1</w:t>
      </w:r>
      <w:r>
        <w:rPr>
          <w:i/>
          <w:iCs/>
          <w:highlight w:val="cyan"/>
          <w:lang w:eastAsia="zh-CN"/>
        </w:rPr>
        <w:t>6</w:t>
      </w:r>
      <w:r w:rsidR="009A7D43">
        <w:rPr>
          <w:i/>
          <w:iCs/>
          <w:highlight w:val="cyan"/>
          <w:lang w:eastAsia="zh-CN"/>
        </w:rPr>
        <w:t>e</w:t>
      </w:r>
      <w:r>
        <w:rPr>
          <w:i/>
          <w:iCs/>
          <w:highlight w:val="cyan"/>
          <w:lang w:eastAsia="zh-CN"/>
        </w:rPr>
        <w:t>2</w:t>
      </w:r>
      <w:r w:rsidRPr="00372CBC">
        <w:rPr>
          <w:i/>
          <w:iCs/>
          <w:highlight w:val="cyan"/>
          <w:lang w:eastAsia="zh-CN"/>
        </w:rPr>
        <w:t>:</w:t>
      </w:r>
    </w:p>
    <w:p w14:paraId="63EEAAEF" w14:textId="77777777" w:rsidR="005E65BC" w:rsidRPr="005E65BC" w:rsidRDefault="005E65BC" w:rsidP="005E65BC">
      <w:pPr>
        <w:pStyle w:val="enumlev1"/>
        <w:rPr>
          <w:noProof/>
          <w:highlight w:val="yellow"/>
        </w:rPr>
      </w:pPr>
      <w:r w:rsidRPr="005E65BC">
        <w:rPr>
          <w:i/>
          <w:iCs/>
          <w:noProof/>
          <w:highlight w:val="yellow"/>
        </w:rPr>
        <w:t>c)</w:t>
      </w:r>
      <w:r w:rsidRPr="005E65BC">
        <w:rPr>
          <w:noProof/>
          <w:highlight w:val="yellow"/>
        </w:rPr>
        <w:tab/>
        <w:t>The emissions from any non-GSO space station transmitting in the frequency bands 27.5-29.1 GHz and 29.5-30 GHz to communicate with a non-GSO system with a minimum operational altitude higher than or equal to 2 000 km shall not exceed an on-axis e.i.r.p. spectral density of −20 dBW/Hz and the total e.i.r.p. from any non-GSO space station shall not exceed:</w:t>
      </w:r>
    </w:p>
    <w:p w14:paraId="5620726F" w14:textId="77777777" w:rsidR="005E65BC" w:rsidRPr="005E65BC" w:rsidRDefault="005E65BC" w:rsidP="005E65BC">
      <w:pPr>
        <w:pStyle w:val="enumlev1"/>
        <w:rPr>
          <w:noProof/>
          <w:highlight w:val="yellow"/>
        </w:rPr>
      </w:pP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3114"/>
        <w:gridCol w:w="2977"/>
        <w:gridCol w:w="2976"/>
      </w:tblGrid>
      <w:tr w:rsidR="005E65BC" w:rsidRPr="005E65BC" w14:paraId="552632F9" w14:textId="77777777" w:rsidTr="00B0417C">
        <w:trPr>
          <w:jc w:val="center"/>
        </w:trPr>
        <w:tc>
          <w:tcPr>
            <w:tcW w:w="3114" w:type="dxa"/>
            <w:vAlign w:val="center"/>
          </w:tcPr>
          <w:p w14:paraId="35D2DD79" w14:textId="77777777" w:rsidR="005E65BC" w:rsidRPr="005E65BC" w:rsidRDefault="005E65BC" w:rsidP="00B0417C">
            <w:pPr>
              <w:pStyle w:val="Tablehead"/>
              <w:rPr>
                <w:noProof/>
                <w:highlight w:val="yellow"/>
              </w:rPr>
            </w:pPr>
            <w:r w:rsidRPr="005E65BC">
              <w:rPr>
                <w:noProof/>
                <w:highlight w:val="yellow"/>
              </w:rPr>
              <w:t>Transmitting non-GSO space station operational altitude (km)</w:t>
            </w:r>
          </w:p>
        </w:tc>
        <w:tc>
          <w:tcPr>
            <w:tcW w:w="2977" w:type="dxa"/>
            <w:vAlign w:val="center"/>
          </w:tcPr>
          <w:p w14:paraId="758739EE" w14:textId="77777777" w:rsidR="005E65BC" w:rsidRPr="005E65BC" w:rsidRDefault="005E65BC" w:rsidP="00B0417C">
            <w:pPr>
              <w:pStyle w:val="Tablehead"/>
              <w:rPr>
                <w:noProof/>
                <w:highlight w:val="yellow"/>
              </w:rPr>
            </w:pPr>
            <w:r w:rsidRPr="005E65BC">
              <w:rPr>
                <w:noProof/>
                <w:highlight w:val="yellow"/>
              </w:rPr>
              <w:t>Maximum total e.i.r.p. (dBW) until 31 December 2033</w:t>
            </w:r>
          </w:p>
        </w:tc>
        <w:tc>
          <w:tcPr>
            <w:tcW w:w="2976" w:type="dxa"/>
            <w:vAlign w:val="center"/>
          </w:tcPr>
          <w:p w14:paraId="5FC64A88" w14:textId="77777777" w:rsidR="005E65BC" w:rsidRPr="005E65BC" w:rsidRDefault="005E65BC" w:rsidP="00B0417C">
            <w:pPr>
              <w:pStyle w:val="Tablehead"/>
              <w:rPr>
                <w:noProof/>
                <w:highlight w:val="yellow"/>
              </w:rPr>
            </w:pPr>
            <w:r w:rsidRPr="005E65BC">
              <w:rPr>
                <w:noProof/>
                <w:highlight w:val="yellow"/>
              </w:rPr>
              <w:t>Maximum total e.i.r.p. (dBW) after 31 December 2033</w:t>
            </w:r>
          </w:p>
        </w:tc>
      </w:tr>
      <w:tr w:rsidR="005E65BC" w:rsidRPr="005E65BC" w14:paraId="2BCA8124" w14:textId="77777777" w:rsidTr="00B0417C">
        <w:trPr>
          <w:jc w:val="center"/>
        </w:trPr>
        <w:tc>
          <w:tcPr>
            <w:tcW w:w="3114" w:type="dxa"/>
            <w:vAlign w:val="center"/>
          </w:tcPr>
          <w:p w14:paraId="357E660E" w14:textId="77777777" w:rsidR="005E65BC" w:rsidRPr="005E65BC" w:rsidRDefault="005E65BC" w:rsidP="00B0417C">
            <w:pPr>
              <w:pStyle w:val="Tabletext"/>
              <w:jc w:val="center"/>
              <w:rPr>
                <w:noProof/>
                <w:highlight w:val="yellow"/>
              </w:rPr>
            </w:pPr>
            <w:r w:rsidRPr="005E65BC">
              <w:rPr>
                <w:noProof/>
                <w:highlight w:val="yellow"/>
              </w:rPr>
              <w:t>altitude &lt; 450</w:t>
            </w:r>
          </w:p>
        </w:tc>
        <w:tc>
          <w:tcPr>
            <w:tcW w:w="2977" w:type="dxa"/>
            <w:vAlign w:val="center"/>
          </w:tcPr>
          <w:p w14:paraId="4D1DFAA1" w14:textId="77777777" w:rsidR="005E65BC" w:rsidRPr="005E65BC" w:rsidRDefault="005E65BC" w:rsidP="00B0417C">
            <w:pPr>
              <w:pStyle w:val="Tabletext"/>
              <w:jc w:val="center"/>
              <w:rPr>
                <w:noProof/>
                <w:highlight w:val="yellow"/>
              </w:rPr>
            </w:pPr>
            <w:r w:rsidRPr="005E65BC">
              <w:rPr>
                <w:noProof/>
                <w:highlight w:val="yellow"/>
              </w:rPr>
              <w:t>63</w:t>
            </w:r>
          </w:p>
        </w:tc>
        <w:tc>
          <w:tcPr>
            <w:tcW w:w="2976" w:type="dxa"/>
            <w:vAlign w:val="center"/>
          </w:tcPr>
          <w:p w14:paraId="1224E0A3" w14:textId="77777777" w:rsidR="005E65BC" w:rsidRPr="005E65BC" w:rsidRDefault="005E65BC" w:rsidP="00B0417C">
            <w:pPr>
              <w:pStyle w:val="Tabletext"/>
              <w:jc w:val="center"/>
              <w:rPr>
                <w:noProof/>
                <w:highlight w:val="yellow"/>
              </w:rPr>
            </w:pPr>
            <w:r w:rsidRPr="005E65BC">
              <w:rPr>
                <w:noProof/>
                <w:highlight w:val="yellow"/>
              </w:rPr>
              <w:t>66</w:t>
            </w:r>
          </w:p>
        </w:tc>
      </w:tr>
      <w:tr w:rsidR="005E65BC" w:rsidRPr="005E65BC" w14:paraId="08D3A26B" w14:textId="77777777" w:rsidTr="00B0417C">
        <w:trPr>
          <w:jc w:val="center"/>
        </w:trPr>
        <w:tc>
          <w:tcPr>
            <w:tcW w:w="3114" w:type="dxa"/>
            <w:vAlign w:val="center"/>
          </w:tcPr>
          <w:p w14:paraId="12C91733" w14:textId="77777777" w:rsidR="005E65BC" w:rsidRPr="005E65BC" w:rsidRDefault="005E65BC" w:rsidP="00B0417C">
            <w:pPr>
              <w:pStyle w:val="Tabletext"/>
              <w:jc w:val="center"/>
              <w:rPr>
                <w:noProof/>
                <w:highlight w:val="yellow"/>
              </w:rPr>
            </w:pPr>
            <w:r w:rsidRPr="005E65BC">
              <w:rPr>
                <w:noProof/>
                <w:highlight w:val="yellow"/>
              </w:rPr>
              <w:t>450 ≤ altitude &lt; 600</w:t>
            </w:r>
          </w:p>
        </w:tc>
        <w:tc>
          <w:tcPr>
            <w:tcW w:w="2977" w:type="dxa"/>
            <w:vAlign w:val="center"/>
          </w:tcPr>
          <w:p w14:paraId="478BC031" w14:textId="77777777" w:rsidR="005E65BC" w:rsidRPr="005E65BC" w:rsidRDefault="005E65BC" w:rsidP="00B0417C">
            <w:pPr>
              <w:pStyle w:val="Tabletext"/>
              <w:jc w:val="center"/>
              <w:rPr>
                <w:noProof/>
                <w:highlight w:val="yellow"/>
              </w:rPr>
            </w:pPr>
            <w:r w:rsidRPr="005E65BC">
              <w:rPr>
                <w:noProof/>
                <w:highlight w:val="yellow"/>
              </w:rPr>
              <w:t>61</w:t>
            </w:r>
          </w:p>
        </w:tc>
        <w:tc>
          <w:tcPr>
            <w:tcW w:w="2976" w:type="dxa"/>
            <w:vAlign w:val="center"/>
          </w:tcPr>
          <w:p w14:paraId="5758E846" w14:textId="77777777" w:rsidR="005E65BC" w:rsidRPr="005E65BC" w:rsidRDefault="005E65BC" w:rsidP="00B0417C">
            <w:pPr>
              <w:pStyle w:val="Tabletext"/>
              <w:jc w:val="center"/>
              <w:rPr>
                <w:noProof/>
                <w:highlight w:val="yellow"/>
              </w:rPr>
            </w:pPr>
            <w:r w:rsidRPr="005E65BC">
              <w:rPr>
                <w:noProof/>
                <w:highlight w:val="yellow"/>
              </w:rPr>
              <w:t>64</w:t>
            </w:r>
          </w:p>
        </w:tc>
      </w:tr>
      <w:tr w:rsidR="005E65BC" w:rsidRPr="005E65BC" w14:paraId="13B16E88" w14:textId="77777777" w:rsidTr="00B0417C">
        <w:trPr>
          <w:jc w:val="center"/>
        </w:trPr>
        <w:tc>
          <w:tcPr>
            <w:tcW w:w="3114" w:type="dxa"/>
            <w:vAlign w:val="center"/>
          </w:tcPr>
          <w:p w14:paraId="3A0AA64F" w14:textId="77777777" w:rsidR="005E65BC" w:rsidRPr="005E65BC" w:rsidRDefault="005E65BC" w:rsidP="00B0417C">
            <w:pPr>
              <w:pStyle w:val="Tabletext"/>
              <w:jc w:val="center"/>
              <w:rPr>
                <w:noProof/>
                <w:highlight w:val="yellow"/>
              </w:rPr>
            </w:pPr>
            <w:r w:rsidRPr="005E65BC">
              <w:rPr>
                <w:noProof/>
                <w:highlight w:val="yellow"/>
              </w:rPr>
              <w:t>600 ≤ altitude &lt; 750</w:t>
            </w:r>
          </w:p>
        </w:tc>
        <w:tc>
          <w:tcPr>
            <w:tcW w:w="2977" w:type="dxa"/>
            <w:vAlign w:val="center"/>
          </w:tcPr>
          <w:p w14:paraId="459AEA75" w14:textId="77777777" w:rsidR="005E65BC" w:rsidRPr="005E65BC" w:rsidRDefault="005E65BC" w:rsidP="00B0417C">
            <w:pPr>
              <w:pStyle w:val="Tabletext"/>
              <w:jc w:val="center"/>
              <w:rPr>
                <w:noProof/>
                <w:highlight w:val="yellow"/>
              </w:rPr>
            </w:pPr>
            <w:r w:rsidRPr="005E65BC">
              <w:rPr>
                <w:noProof/>
                <w:highlight w:val="yellow"/>
              </w:rPr>
              <w:t>58</w:t>
            </w:r>
          </w:p>
        </w:tc>
        <w:tc>
          <w:tcPr>
            <w:tcW w:w="2976" w:type="dxa"/>
            <w:vAlign w:val="center"/>
          </w:tcPr>
          <w:p w14:paraId="63216876" w14:textId="77777777" w:rsidR="005E65BC" w:rsidRPr="005E65BC" w:rsidRDefault="005E65BC" w:rsidP="00B0417C">
            <w:pPr>
              <w:pStyle w:val="Tabletext"/>
              <w:jc w:val="center"/>
              <w:rPr>
                <w:noProof/>
                <w:highlight w:val="yellow"/>
              </w:rPr>
            </w:pPr>
            <w:r w:rsidRPr="005E65BC">
              <w:rPr>
                <w:noProof/>
                <w:highlight w:val="yellow"/>
              </w:rPr>
              <w:t>58</w:t>
            </w:r>
          </w:p>
        </w:tc>
      </w:tr>
      <w:tr w:rsidR="005E65BC" w:rsidRPr="005E65BC" w14:paraId="42BEDA54" w14:textId="77777777" w:rsidTr="00B0417C">
        <w:trPr>
          <w:jc w:val="center"/>
        </w:trPr>
        <w:tc>
          <w:tcPr>
            <w:tcW w:w="3114" w:type="dxa"/>
            <w:vAlign w:val="center"/>
          </w:tcPr>
          <w:p w14:paraId="18EA0DF5" w14:textId="77777777" w:rsidR="005E65BC" w:rsidRPr="005E65BC" w:rsidRDefault="005E65BC" w:rsidP="00B0417C">
            <w:pPr>
              <w:pStyle w:val="Tabletext"/>
              <w:jc w:val="center"/>
              <w:rPr>
                <w:noProof/>
                <w:highlight w:val="yellow"/>
              </w:rPr>
            </w:pPr>
            <w:r w:rsidRPr="005E65BC">
              <w:rPr>
                <w:noProof/>
                <w:highlight w:val="yellow"/>
              </w:rPr>
              <w:t>750 ≤ altitude &lt; 900</w:t>
            </w:r>
          </w:p>
        </w:tc>
        <w:tc>
          <w:tcPr>
            <w:tcW w:w="2977" w:type="dxa"/>
            <w:vAlign w:val="center"/>
          </w:tcPr>
          <w:p w14:paraId="66262C78" w14:textId="77777777" w:rsidR="005E65BC" w:rsidRPr="005E65BC" w:rsidRDefault="005E65BC" w:rsidP="00B0417C">
            <w:pPr>
              <w:pStyle w:val="Tabletext"/>
              <w:jc w:val="center"/>
              <w:rPr>
                <w:noProof/>
                <w:highlight w:val="yellow"/>
              </w:rPr>
            </w:pPr>
            <w:r w:rsidRPr="005E65BC">
              <w:rPr>
                <w:noProof/>
                <w:highlight w:val="yellow"/>
              </w:rPr>
              <w:t>55</w:t>
            </w:r>
          </w:p>
        </w:tc>
        <w:tc>
          <w:tcPr>
            <w:tcW w:w="2976" w:type="dxa"/>
            <w:vAlign w:val="center"/>
          </w:tcPr>
          <w:p w14:paraId="6184E7D6" w14:textId="77777777" w:rsidR="005E65BC" w:rsidRPr="005E65BC" w:rsidRDefault="005E65BC" w:rsidP="00B0417C">
            <w:pPr>
              <w:pStyle w:val="Tabletext"/>
              <w:jc w:val="center"/>
              <w:rPr>
                <w:noProof/>
                <w:highlight w:val="yellow"/>
              </w:rPr>
            </w:pPr>
            <w:r w:rsidRPr="005E65BC">
              <w:rPr>
                <w:noProof/>
                <w:highlight w:val="yellow"/>
              </w:rPr>
              <w:t>55</w:t>
            </w:r>
          </w:p>
        </w:tc>
      </w:tr>
      <w:tr w:rsidR="005E65BC" w:rsidRPr="005E65BC" w14:paraId="470181CB" w14:textId="77777777" w:rsidTr="00B0417C">
        <w:trPr>
          <w:jc w:val="center"/>
        </w:trPr>
        <w:tc>
          <w:tcPr>
            <w:tcW w:w="3114" w:type="dxa"/>
            <w:vAlign w:val="center"/>
          </w:tcPr>
          <w:p w14:paraId="2ECA9D56" w14:textId="77777777" w:rsidR="005E65BC" w:rsidRPr="005E65BC" w:rsidRDefault="005E65BC" w:rsidP="00B0417C">
            <w:pPr>
              <w:pStyle w:val="Tabletext"/>
              <w:jc w:val="center"/>
              <w:rPr>
                <w:noProof/>
                <w:highlight w:val="yellow"/>
              </w:rPr>
            </w:pPr>
            <w:r w:rsidRPr="005E65BC">
              <w:rPr>
                <w:noProof/>
                <w:highlight w:val="yellow"/>
              </w:rPr>
              <w:t>900 ≤ altitude &lt; 1290</w:t>
            </w:r>
          </w:p>
        </w:tc>
        <w:tc>
          <w:tcPr>
            <w:tcW w:w="2977" w:type="dxa"/>
            <w:vAlign w:val="center"/>
          </w:tcPr>
          <w:p w14:paraId="2E02B766" w14:textId="77777777" w:rsidR="005E65BC" w:rsidRPr="005E65BC" w:rsidRDefault="005E65BC" w:rsidP="00B0417C">
            <w:pPr>
              <w:pStyle w:val="Tabletext"/>
              <w:jc w:val="center"/>
              <w:rPr>
                <w:noProof/>
                <w:highlight w:val="yellow"/>
              </w:rPr>
            </w:pPr>
            <w:r w:rsidRPr="005E65BC">
              <w:rPr>
                <w:noProof/>
                <w:highlight w:val="yellow"/>
              </w:rPr>
              <w:t xml:space="preserve">25 </w:t>
            </w:r>
          </w:p>
        </w:tc>
        <w:tc>
          <w:tcPr>
            <w:tcW w:w="2976" w:type="dxa"/>
            <w:vAlign w:val="center"/>
          </w:tcPr>
          <w:p w14:paraId="39427EA6" w14:textId="77777777" w:rsidR="005E65BC" w:rsidRPr="005E65BC" w:rsidRDefault="005E65BC" w:rsidP="00B0417C">
            <w:pPr>
              <w:pStyle w:val="Tabletext"/>
              <w:jc w:val="center"/>
              <w:rPr>
                <w:noProof/>
                <w:highlight w:val="yellow"/>
              </w:rPr>
            </w:pPr>
            <w:r w:rsidRPr="005E65BC">
              <w:rPr>
                <w:noProof/>
                <w:highlight w:val="yellow"/>
              </w:rPr>
              <w:t>48.5</w:t>
            </w:r>
          </w:p>
        </w:tc>
      </w:tr>
      <w:tr w:rsidR="005E65BC" w:rsidRPr="005E65BC" w14:paraId="540F5206" w14:textId="77777777" w:rsidTr="00B0417C">
        <w:trPr>
          <w:jc w:val="center"/>
        </w:trPr>
        <w:tc>
          <w:tcPr>
            <w:tcW w:w="3114" w:type="dxa"/>
            <w:vAlign w:val="center"/>
          </w:tcPr>
          <w:p w14:paraId="1FDD1A45" w14:textId="77777777" w:rsidR="005E65BC" w:rsidRPr="005E65BC" w:rsidRDefault="005E65BC" w:rsidP="00B0417C">
            <w:pPr>
              <w:pStyle w:val="Tabletext"/>
              <w:jc w:val="center"/>
              <w:rPr>
                <w:noProof/>
                <w:highlight w:val="yellow"/>
              </w:rPr>
            </w:pPr>
            <w:r w:rsidRPr="005E65BC">
              <w:rPr>
                <w:noProof/>
                <w:highlight w:val="yellow"/>
              </w:rPr>
              <w:t>altitude ≥ 1 290</w:t>
            </w:r>
          </w:p>
        </w:tc>
        <w:tc>
          <w:tcPr>
            <w:tcW w:w="2977" w:type="dxa"/>
            <w:vAlign w:val="center"/>
          </w:tcPr>
          <w:p w14:paraId="00459486" w14:textId="77777777" w:rsidR="005E65BC" w:rsidRPr="005E65BC" w:rsidRDefault="005E65BC" w:rsidP="00B0417C">
            <w:pPr>
              <w:pStyle w:val="Tabletext"/>
              <w:jc w:val="center"/>
              <w:rPr>
                <w:noProof/>
                <w:highlight w:val="yellow"/>
              </w:rPr>
            </w:pPr>
            <w:r w:rsidRPr="005E65BC">
              <w:rPr>
                <w:noProof/>
                <w:highlight w:val="yellow"/>
              </w:rPr>
              <w:t>N/A</w:t>
            </w:r>
          </w:p>
        </w:tc>
        <w:tc>
          <w:tcPr>
            <w:tcW w:w="2976" w:type="dxa"/>
            <w:vAlign w:val="center"/>
          </w:tcPr>
          <w:p w14:paraId="085F88CA" w14:textId="77777777" w:rsidR="005E65BC" w:rsidRPr="005E65BC" w:rsidRDefault="005E65BC" w:rsidP="00B0417C">
            <w:pPr>
              <w:pStyle w:val="Tabletext"/>
              <w:jc w:val="center"/>
              <w:rPr>
                <w:noProof/>
                <w:highlight w:val="yellow"/>
              </w:rPr>
            </w:pPr>
            <w:r w:rsidRPr="005E65BC">
              <w:rPr>
                <w:noProof/>
                <w:highlight w:val="yellow"/>
              </w:rPr>
              <w:t>N/A</w:t>
            </w:r>
          </w:p>
        </w:tc>
      </w:tr>
    </w:tbl>
    <w:p w14:paraId="6ACA9193" w14:textId="77777777" w:rsidR="005E65BC" w:rsidRPr="005E65BC" w:rsidRDefault="005E65BC" w:rsidP="005E65BC">
      <w:pPr>
        <w:pStyle w:val="Tablefin"/>
        <w:rPr>
          <w:noProof/>
          <w:highlight w:val="yellow"/>
          <w:lang w:eastAsia="zh-CN"/>
        </w:rPr>
      </w:pPr>
    </w:p>
    <w:p w14:paraId="783FAA69" w14:textId="77777777" w:rsidR="005E65BC" w:rsidRPr="005E65BC" w:rsidRDefault="005E65BC" w:rsidP="005E65BC">
      <w:pPr>
        <w:pStyle w:val="enumlev1"/>
        <w:rPr>
          <w:noProof/>
          <w:highlight w:val="yellow"/>
        </w:rPr>
      </w:pPr>
      <w:r w:rsidRPr="005E65BC">
        <w:rPr>
          <w:i/>
          <w:iCs/>
          <w:noProof/>
          <w:highlight w:val="yellow"/>
        </w:rPr>
        <w:t>d)</w:t>
      </w:r>
      <w:r w:rsidRPr="005E65BC">
        <w:rPr>
          <w:noProof/>
          <w:highlight w:val="yellow"/>
        </w:rPr>
        <w:tab/>
        <w:t>The emissions from any non-GSO space station transmitting in the frequency bands 27.5-29.1 GHz and 29.5-30 GHz to communicate with a non-GSO system with a minimum operational altitude lower than 2 000 km shall not exceed an on-axis e.i.r.p. spectral density of −28 dBW/Hz and the total e.i.r.p. from any non-GSO space station shall not exceed:</w:t>
      </w:r>
    </w:p>
    <w:p w14:paraId="3D7981A5" w14:textId="77777777" w:rsidR="005E65BC" w:rsidRPr="005E65BC" w:rsidRDefault="005E65BC" w:rsidP="005E65BC">
      <w:pPr>
        <w:pStyle w:val="enumlev1"/>
        <w:rPr>
          <w:noProof/>
          <w:highlight w:val="yellow"/>
        </w:rPr>
      </w:pP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3114"/>
        <w:gridCol w:w="2977"/>
        <w:gridCol w:w="2976"/>
      </w:tblGrid>
      <w:tr w:rsidR="005E65BC" w:rsidRPr="005E65BC" w14:paraId="28F1588A" w14:textId="77777777" w:rsidTr="00B0417C">
        <w:trPr>
          <w:jc w:val="center"/>
        </w:trPr>
        <w:tc>
          <w:tcPr>
            <w:tcW w:w="3114" w:type="dxa"/>
            <w:vAlign w:val="center"/>
          </w:tcPr>
          <w:p w14:paraId="796F6863" w14:textId="77777777" w:rsidR="005E65BC" w:rsidRPr="005E65BC" w:rsidRDefault="005E65BC" w:rsidP="00B0417C">
            <w:pPr>
              <w:pStyle w:val="Tablehead"/>
              <w:rPr>
                <w:noProof/>
                <w:highlight w:val="yellow"/>
              </w:rPr>
            </w:pPr>
            <w:r w:rsidRPr="005E65BC">
              <w:rPr>
                <w:noProof/>
                <w:highlight w:val="yellow"/>
              </w:rPr>
              <w:t>Transmitting non-GSO space station operational altitude (km)</w:t>
            </w:r>
          </w:p>
        </w:tc>
        <w:tc>
          <w:tcPr>
            <w:tcW w:w="2977" w:type="dxa"/>
            <w:vAlign w:val="center"/>
          </w:tcPr>
          <w:p w14:paraId="420488D0" w14:textId="77777777" w:rsidR="005E65BC" w:rsidRPr="005E65BC" w:rsidRDefault="005E65BC" w:rsidP="00B0417C">
            <w:pPr>
              <w:pStyle w:val="Tablehead"/>
              <w:rPr>
                <w:noProof/>
                <w:highlight w:val="yellow"/>
              </w:rPr>
            </w:pPr>
            <w:r w:rsidRPr="005E65BC">
              <w:rPr>
                <w:noProof/>
                <w:highlight w:val="yellow"/>
              </w:rPr>
              <w:t>Maximum total e.i.r.p. (dBW) until 31 December 2033</w:t>
            </w:r>
          </w:p>
        </w:tc>
        <w:tc>
          <w:tcPr>
            <w:tcW w:w="2976" w:type="dxa"/>
            <w:vAlign w:val="center"/>
          </w:tcPr>
          <w:p w14:paraId="43016E4D" w14:textId="77777777" w:rsidR="005E65BC" w:rsidRPr="005E65BC" w:rsidRDefault="005E65BC" w:rsidP="00B0417C">
            <w:pPr>
              <w:pStyle w:val="Tablehead"/>
              <w:rPr>
                <w:noProof/>
                <w:highlight w:val="yellow"/>
              </w:rPr>
            </w:pPr>
            <w:r w:rsidRPr="005E65BC">
              <w:rPr>
                <w:noProof/>
                <w:highlight w:val="yellow"/>
              </w:rPr>
              <w:t>Maximum total e.i.r.p. (dBW) after 31 December 2033</w:t>
            </w:r>
          </w:p>
        </w:tc>
      </w:tr>
      <w:tr w:rsidR="005E65BC" w:rsidRPr="005E65BC" w14:paraId="59D3043C" w14:textId="77777777" w:rsidTr="00B0417C">
        <w:trPr>
          <w:jc w:val="center"/>
        </w:trPr>
        <w:tc>
          <w:tcPr>
            <w:tcW w:w="3114" w:type="dxa"/>
            <w:vAlign w:val="center"/>
          </w:tcPr>
          <w:p w14:paraId="4DDE746F" w14:textId="77777777" w:rsidR="005E65BC" w:rsidRPr="005E65BC" w:rsidRDefault="005E65BC" w:rsidP="00B0417C">
            <w:pPr>
              <w:pStyle w:val="Tabletext"/>
              <w:jc w:val="center"/>
              <w:rPr>
                <w:noProof/>
                <w:highlight w:val="yellow"/>
              </w:rPr>
            </w:pPr>
            <w:r w:rsidRPr="005E65BC">
              <w:rPr>
                <w:noProof/>
                <w:highlight w:val="yellow"/>
              </w:rPr>
              <w:t>altitude &lt; 450</w:t>
            </w:r>
          </w:p>
        </w:tc>
        <w:tc>
          <w:tcPr>
            <w:tcW w:w="2977" w:type="dxa"/>
            <w:vAlign w:val="center"/>
          </w:tcPr>
          <w:p w14:paraId="6A25990B" w14:textId="77777777" w:rsidR="005E65BC" w:rsidRPr="005E65BC" w:rsidRDefault="005E65BC" w:rsidP="00B0417C">
            <w:pPr>
              <w:pStyle w:val="Tabletext"/>
              <w:jc w:val="center"/>
              <w:rPr>
                <w:noProof/>
                <w:highlight w:val="yellow"/>
              </w:rPr>
            </w:pPr>
            <w:r w:rsidRPr="005E65BC">
              <w:rPr>
                <w:noProof/>
                <w:highlight w:val="yellow"/>
              </w:rPr>
              <w:t>60</w:t>
            </w:r>
          </w:p>
        </w:tc>
        <w:tc>
          <w:tcPr>
            <w:tcW w:w="2976" w:type="dxa"/>
            <w:vAlign w:val="center"/>
          </w:tcPr>
          <w:p w14:paraId="3F6D2937" w14:textId="77777777" w:rsidR="005E65BC" w:rsidRPr="005E65BC" w:rsidRDefault="005E65BC" w:rsidP="00B0417C">
            <w:pPr>
              <w:pStyle w:val="Tabletext"/>
              <w:jc w:val="center"/>
              <w:rPr>
                <w:noProof/>
                <w:highlight w:val="yellow"/>
              </w:rPr>
            </w:pPr>
            <w:r w:rsidRPr="005E65BC">
              <w:rPr>
                <w:noProof/>
                <w:highlight w:val="yellow"/>
              </w:rPr>
              <w:t>60</w:t>
            </w:r>
          </w:p>
        </w:tc>
      </w:tr>
      <w:tr w:rsidR="005E65BC" w:rsidRPr="005E65BC" w14:paraId="1CC07DAD" w14:textId="77777777" w:rsidTr="00B0417C">
        <w:trPr>
          <w:jc w:val="center"/>
        </w:trPr>
        <w:tc>
          <w:tcPr>
            <w:tcW w:w="3114" w:type="dxa"/>
            <w:vAlign w:val="center"/>
          </w:tcPr>
          <w:p w14:paraId="0F566929" w14:textId="77777777" w:rsidR="005E65BC" w:rsidRPr="005E65BC" w:rsidRDefault="005E65BC" w:rsidP="00B0417C">
            <w:pPr>
              <w:pStyle w:val="Tabletext"/>
              <w:jc w:val="center"/>
              <w:rPr>
                <w:noProof/>
                <w:highlight w:val="yellow"/>
              </w:rPr>
            </w:pPr>
            <w:r w:rsidRPr="005E65BC">
              <w:rPr>
                <w:noProof/>
                <w:highlight w:val="yellow"/>
              </w:rPr>
              <w:t>450 ≤ altitude &lt; 600</w:t>
            </w:r>
          </w:p>
        </w:tc>
        <w:tc>
          <w:tcPr>
            <w:tcW w:w="2977" w:type="dxa"/>
            <w:vAlign w:val="center"/>
          </w:tcPr>
          <w:p w14:paraId="010D0AF0" w14:textId="77777777" w:rsidR="005E65BC" w:rsidRPr="005E65BC" w:rsidRDefault="005E65BC" w:rsidP="00B0417C">
            <w:pPr>
              <w:pStyle w:val="Tabletext"/>
              <w:jc w:val="center"/>
              <w:rPr>
                <w:noProof/>
                <w:highlight w:val="yellow"/>
              </w:rPr>
            </w:pPr>
            <w:r w:rsidRPr="005E65BC">
              <w:rPr>
                <w:noProof/>
                <w:highlight w:val="yellow"/>
              </w:rPr>
              <w:t>58</w:t>
            </w:r>
          </w:p>
        </w:tc>
        <w:tc>
          <w:tcPr>
            <w:tcW w:w="2976" w:type="dxa"/>
            <w:vAlign w:val="center"/>
          </w:tcPr>
          <w:p w14:paraId="6C693FC6" w14:textId="77777777" w:rsidR="005E65BC" w:rsidRPr="005E65BC" w:rsidRDefault="005E65BC" w:rsidP="00B0417C">
            <w:pPr>
              <w:pStyle w:val="Tabletext"/>
              <w:jc w:val="center"/>
              <w:rPr>
                <w:noProof/>
                <w:highlight w:val="yellow"/>
              </w:rPr>
            </w:pPr>
            <w:r w:rsidRPr="005E65BC">
              <w:rPr>
                <w:noProof/>
                <w:highlight w:val="yellow"/>
              </w:rPr>
              <w:t>58</w:t>
            </w:r>
          </w:p>
        </w:tc>
      </w:tr>
      <w:tr w:rsidR="005E65BC" w:rsidRPr="005E65BC" w14:paraId="2BE411B5" w14:textId="77777777" w:rsidTr="00B0417C">
        <w:trPr>
          <w:jc w:val="center"/>
        </w:trPr>
        <w:tc>
          <w:tcPr>
            <w:tcW w:w="3114" w:type="dxa"/>
            <w:vAlign w:val="center"/>
          </w:tcPr>
          <w:p w14:paraId="1FA226B3" w14:textId="77777777" w:rsidR="005E65BC" w:rsidRPr="005E65BC" w:rsidRDefault="005E65BC" w:rsidP="00B0417C">
            <w:pPr>
              <w:pStyle w:val="Tabletext"/>
              <w:jc w:val="center"/>
              <w:rPr>
                <w:noProof/>
                <w:highlight w:val="yellow"/>
              </w:rPr>
            </w:pPr>
            <w:r w:rsidRPr="005E65BC">
              <w:rPr>
                <w:noProof/>
                <w:highlight w:val="yellow"/>
              </w:rPr>
              <w:t>600 ≤ altitude &lt; 750</w:t>
            </w:r>
          </w:p>
        </w:tc>
        <w:tc>
          <w:tcPr>
            <w:tcW w:w="2977" w:type="dxa"/>
            <w:vAlign w:val="center"/>
          </w:tcPr>
          <w:p w14:paraId="2AB35421" w14:textId="77777777" w:rsidR="005E65BC" w:rsidRPr="005E65BC" w:rsidRDefault="005E65BC" w:rsidP="00B0417C">
            <w:pPr>
              <w:pStyle w:val="Tabletext"/>
              <w:jc w:val="center"/>
              <w:rPr>
                <w:noProof/>
                <w:highlight w:val="yellow"/>
              </w:rPr>
            </w:pPr>
            <w:r w:rsidRPr="005E65BC">
              <w:rPr>
                <w:noProof/>
                <w:highlight w:val="yellow"/>
              </w:rPr>
              <w:t>55</w:t>
            </w:r>
          </w:p>
        </w:tc>
        <w:tc>
          <w:tcPr>
            <w:tcW w:w="2976" w:type="dxa"/>
            <w:vAlign w:val="center"/>
          </w:tcPr>
          <w:p w14:paraId="3CAF4B2F" w14:textId="77777777" w:rsidR="005E65BC" w:rsidRPr="005E65BC" w:rsidRDefault="005E65BC" w:rsidP="00B0417C">
            <w:pPr>
              <w:pStyle w:val="Tabletext"/>
              <w:jc w:val="center"/>
              <w:rPr>
                <w:noProof/>
                <w:highlight w:val="yellow"/>
              </w:rPr>
            </w:pPr>
            <w:r w:rsidRPr="005E65BC">
              <w:rPr>
                <w:noProof/>
                <w:highlight w:val="yellow"/>
              </w:rPr>
              <w:t>55</w:t>
            </w:r>
          </w:p>
        </w:tc>
      </w:tr>
      <w:tr w:rsidR="005E65BC" w:rsidRPr="005E65BC" w14:paraId="579C5825" w14:textId="77777777" w:rsidTr="00B0417C">
        <w:trPr>
          <w:jc w:val="center"/>
        </w:trPr>
        <w:tc>
          <w:tcPr>
            <w:tcW w:w="3114" w:type="dxa"/>
            <w:vAlign w:val="center"/>
          </w:tcPr>
          <w:p w14:paraId="6788191B" w14:textId="77777777" w:rsidR="005E65BC" w:rsidRPr="005E65BC" w:rsidRDefault="005E65BC" w:rsidP="00B0417C">
            <w:pPr>
              <w:pStyle w:val="Tabletext"/>
              <w:jc w:val="center"/>
              <w:rPr>
                <w:noProof/>
                <w:highlight w:val="yellow"/>
              </w:rPr>
            </w:pPr>
            <w:r w:rsidRPr="005E65BC">
              <w:rPr>
                <w:noProof/>
                <w:highlight w:val="yellow"/>
              </w:rPr>
              <w:t>750 ≤ altitude &lt; 900</w:t>
            </w:r>
          </w:p>
        </w:tc>
        <w:tc>
          <w:tcPr>
            <w:tcW w:w="2977" w:type="dxa"/>
            <w:vAlign w:val="center"/>
          </w:tcPr>
          <w:p w14:paraId="6B37FE2B" w14:textId="77777777" w:rsidR="005E65BC" w:rsidRPr="005E65BC" w:rsidRDefault="005E65BC" w:rsidP="00B0417C">
            <w:pPr>
              <w:pStyle w:val="Tabletext"/>
              <w:jc w:val="center"/>
              <w:rPr>
                <w:noProof/>
                <w:highlight w:val="yellow"/>
              </w:rPr>
            </w:pPr>
            <w:r w:rsidRPr="005E65BC">
              <w:rPr>
                <w:noProof/>
                <w:highlight w:val="yellow"/>
              </w:rPr>
              <w:t>53</w:t>
            </w:r>
          </w:p>
        </w:tc>
        <w:tc>
          <w:tcPr>
            <w:tcW w:w="2976" w:type="dxa"/>
            <w:vAlign w:val="center"/>
          </w:tcPr>
          <w:p w14:paraId="5E1E9DE6" w14:textId="77777777" w:rsidR="005E65BC" w:rsidRPr="005E65BC" w:rsidRDefault="005E65BC" w:rsidP="00B0417C">
            <w:pPr>
              <w:pStyle w:val="Tabletext"/>
              <w:jc w:val="center"/>
              <w:rPr>
                <w:noProof/>
                <w:highlight w:val="yellow"/>
              </w:rPr>
            </w:pPr>
            <w:r w:rsidRPr="005E65BC">
              <w:rPr>
                <w:noProof/>
                <w:highlight w:val="yellow"/>
              </w:rPr>
              <w:t>53</w:t>
            </w:r>
          </w:p>
        </w:tc>
      </w:tr>
      <w:tr w:rsidR="005E65BC" w:rsidRPr="005E65BC" w14:paraId="3F9F8116" w14:textId="77777777" w:rsidTr="00B0417C">
        <w:trPr>
          <w:jc w:val="center"/>
        </w:trPr>
        <w:tc>
          <w:tcPr>
            <w:tcW w:w="3114" w:type="dxa"/>
            <w:vAlign w:val="center"/>
          </w:tcPr>
          <w:p w14:paraId="23EE6A3F" w14:textId="77777777" w:rsidR="005E65BC" w:rsidRPr="005E65BC" w:rsidRDefault="005E65BC" w:rsidP="00B0417C">
            <w:pPr>
              <w:pStyle w:val="Tabletext"/>
              <w:jc w:val="center"/>
              <w:rPr>
                <w:noProof/>
                <w:highlight w:val="yellow"/>
              </w:rPr>
            </w:pPr>
            <w:r w:rsidRPr="005E65BC">
              <w:rPr>
                <w:noProof/>
                <w:highlight w:val="yellow"/>
              </w:rPr>
              <w:t>900 ≤ altitude &lt; 1 290</w:t>
            </w:r>
          </w:p>
        </w:tc>
        <w:tc>
          <w:tcPr>
            <w:tcW w:w="2977" w:type="dxa"/>
            <w:vAlign w:val="center"/>
          </w:tcPr>
          <w:p w14:paraId="0C6EAE75" w14:textId="77777777" w:rsidR="005E65BC" w:rsidRPr="005E65BC" w:rsidRDefault="005E65BC" w:rsidP="00B0417C">
            <w:pPr>
              <w:pStyle w:val="Tabletext"/>
              <w:jc w:val="center"/>
              <w:rPr>
                <w:noProof/>
                <w:highlight w:val="yellow"/>
              </w:rPr>
            </w:pPr>
            <w:r w:rsidRPr="005E65BC">
              <w:rPr>
                <w:noProof/>
                <w:highlight w:val="yellow"/>
              </w:rPr>
              <w:t xml:space="preserve">25 </w:t>
            </w:r>
          </w:p>
        </w:tc>
        <w:tc>
          <w:tcPr>
            <w:tcW w:w="2976" w:type="dxa"/>
            <w:vAlign w:val="center"/>
          </w:tcPr>
          <w:p w14:paraId="0D27817E" w14:textId="77777777" w:rsidR="005E65BC" w:rsidRPr="005E65BC" w:rsidRDefault="005E65BC" w:rsidP="00B0417C">
            <w:pPr>
              <w:pStyle w:val="Tabletext"/>
              <w:jc w:val="center"/>
              <w:rPr>
                <w:noProof/>
                <w:highlight w:val="yellow"/>
              </w:rPr>
            </w:pPr>
            <w:r w:rsidRPr="005E65BC">
              <w:rPr>
                <w:noProof/>
                <w:highlight w:val="yellow"/>
              </w:rPr>
              <w:t>47</w:t>
            </w:r>
          </w:p>
        </w:tc>
      </w:tr>
      <w:tr w:rsidR="005E65BC" w:rsidRPr="0021724D" w14:paraId="40DEE802" w14:textId="77777777" w:rsidTr="00B0417C">
        <w:trPr>
          <w:jc w:val="center"/>
        </w:trPr>
        <w:tc>
          <w:tcPr>
            <w:tcW w:w="3114" w:type="dxa"/>
            <w:vAlign w:val="center"/>
          </w:tcPr>
          <w:p w14:paraId="6527F950" w14:textId="77777777" w:rsidR="005E65BC" w:rsidRPr="005E65BC" w:rsidRDefault="005E65BC" w:rsidP="00B0417C">
            <w:pPr>
              <w:pStyle w:val="Tabletext"/>
              <w:jc w:val="center"/>
              <w:rPr>
                <w:noProof/>
                <w:highlight w:val="yellow"/>
              </w:rPr>
            </w:pPr>
            <w:r w:rsidRPr="005E65BC">
              <w:rPr>
                <w:noProof/>
                <w:highlight w:val="yellow"/>
              </w:rPr>
              <w:t>altitude ≥ 1 290</w:t>
            </w:r>
          </w:p>
        </w:tc>
        <w:tc>
          <w:tcPr>
            <w:tcW w:w="2977" w:type="dxa"/>
            <w:vAlign w:val="center"/>
          </w:tcPr>
          <w:p w14:paraId="4994677A" w14:textId="77777777" w:rsidR="005E65BC" w:rsidRPr="005E65BC" w:rsidRDefault="005E65BC" w:rsidP="00B0417C">
            <w:pPr>
              <w:pStyle w:val="Tabletext"/>
              <w:jc w:val="center"/>
              <w:rPr>
                <w:noProof/>
                <w:highlight w:val="yellow"/>
              </w:rPr>
            </w:pPr>
            <w:r w:rsidRPr="005E65BC">
              <w:rPr>
                <w:noProof/>
                <w:highlight w:val="yellow"/>
              </w:rPr>
              <w:t>N/A</w:t>
            </w:r>
          </w:p>
        </w:tc>
        <w:tc>
          <w:tcPr>
            <w:tcW w:w="2976" w:type="dxa"/>
            <w:vAlign w:val="center"/>
          </w:tcPr>
          <w:p w14:paraId="5D527EFF" w14:textId="77777777" w:rsidR="005E65BC" w:rsidRPr="0021724D" w:rsidRDefault="005E65BC" w:rsidP="00B0417C">
            <w:pPr>
              <w:pStyle w:val="Tabletext"/>
              <w:jc w:val="center"/>
              <w:rPr>
                <w:noProof/>
              </w:rPr>
            </w:pPr>
            <w:r w:rsidRPr="005E65BC">
              <w:rPr>
                <w:noProof/>
                <w:highlight w:val="yellow"/>
              </w:rPr>
              <w:t>N/A</w:t>
            </w:r>
          </w:p>
        </w:tc>
      </w:tr>
    </w:tbl>
    <w:p w14:paraId="74F17FFD" w14:textId="77777777" w:rsidR="002A7B9E" w:rsidRDefault="002A7B9E" w:rsidP="002A7B9E">
      <w:pPr>
        <w:pStyle w:val="Tablefin"/>
        <w:rPr>
          <w:i/>
          <w:iCs/>
        </w:rPr>
      </w:pPr>
      <w:r w:rsidRPr="00F14E35">
        <w:rPr>
          <w:i/>
          <w:iCs/>
          <w:highlight w:val="cyan"/>
        </w:rPr>
        <w:t>]</w:t>
      </w:r>
    </w:p>
    <w:p w14:paraId="6FC807CA" w14:textId="71DAE618" w:rsidR="002A7B9E" w:rsidRDefault="002A7B9E" w:rsidP="002A7B9E">
      <w:pPr>
        <w:pStyle w:val="enumlev1"/>
        <w:rPr>
          <w:i/>
          <w:iCs/>
          <w:lang w:eastAsia="zh-CN"/>
        </w:rPr>
      </w:pPr>
      <w:r w:rsidRPr="00372CBC">
        <w:rPr>
          <w:i/>
          <w:iCs/>
          <w:highlight w:val="cyan"/>
          <w:lang w:eastAsia="zh-CN"/>
        </w:rPr>
        <w:t>[</w:t>
      </w:r>
      <w:r w:rsidR="0012077B">
        <w:rPr>
          <w:i/>
          <w:iCs/>
          <w:highlight w:val="cyan"/>
          <w:lang w:eastAsia="zh-CN"/>
        </w:rPr>
        <w:t>ATU</w:t>
      </w:r>
      <w:r w:rsidR="000A16CD">
        <w:rPr>
          <w:i/>
          <w:iCs/>
          <w:highlight w:val="cyan"/>
          <w:lang w:eastAsia="zh-CN"/>
        </w:rPr>
        <w:t>/KOR</w:t>
      </w:r>
      <w:r w:rsidR="0012077B">
        <w:rPr>
          <w:i/>
          <w:iCs/>
          <w:highlight w:val="cyan"/>
          <w:lang w:eastAsia="zh-CN"/>
        </w:rPr>
        <w:t xml:space="preserve"> </w:t>
      </w:r>
      <w:r>
        <w:rPr>
          <w:i/>
          <w:iCs/>
          <w:highlight w:val="cyan"/>
          <w:lang w:eastAsia="zh-CN"/>
        </w:rPr>
        <w:t>Alternative</w:t>
      </w:r>
      <w:r w:rsidRPr="00372CBC">
        <w:rPr>
          <w:i/>
          <w:iCs/>
          <w:highlight w:val="cyan"/>
          <w:lang w:eastAsia="zh-CN"/>
        </w:rPr>
        <w:t xml:space="preserve"> 1</w:t>
      </w:r>
      <w:r>
        <w:rPr>
          <w:i/>
          <w:iCs/>
          <w:highlight w:val="cyan"/>
          <w:lang w:eastAsia="zh-CN"/>
        </w:rPr>
        <w:t>6</w:t>
      </w:r>
      <w:r w:rsidR="009A7D43">
        <w:rPr>
          <w:i/>
          <w:iCs/>
          <w:highlight w:val="cyan"/>
          <w:lang w:eastAsia="zh-CN"/>
        </w:rPr>
        <w:t>e</w:t>
      </w:r>
      <w:r w:rsidR="00E04697">
        <w:rPr>
          <w:i/>
          <w:iCs/>
          <w:highlight w:val="cyan"/>
          <w:lang w:eastAsia="zh-CN"/>
        </w:rPr>
        <w:t>3</w:t>
      </w:r>
      <w:r w:rsidRPr="00372CBC">
        <w:rPr>
          <w:i/>
          <w:iCs/>
          <w:highlight w:val="cyan"/>
          <w:lang w:eastAsia="zh-CN"/>
        </w:rPr>
        <w:t>:</w:t>
      </w:r>
    </w:p>
    <w:p w14:paraId="0DB68F94" w14:textId="77777777" w:rsidR="00F02674" w:rsidRPr="00F02674" w:rsidRDefault="00F02674" w:rsidP="00F02674">
      <w:pPr>
        <w:pStyle w:val="enumlev1"/>
        <w:rPr>
          <w:highlight w:val="yellow"/>
        </w:rPr>
      </w:pPr>
      <w:r w:rsidRPr="00F02674">
        <w:rPr>
          <w:i/>
          <w:iCs/>
          <w:highlight w:val="yellow"/>
        </w:rPr>
        <w:t>c)</w:t>
      </w:r>
      <w:r w:rsidRPr="00F02674">
        <w:rPr>
          <w:highlight w:val="yellow"/>
        </w:rPr>
        <w:tab/>
        <w:t xml:space="preserve">The emissions from any non-GSO space station transmitting in the frequency bands 27.5-29.1 GHz and 29.5-30 GHz to communicate with a non-GSO system with a minimum operational altitude higher than 2 000 km shall not exceed an on-axis </w:t>
      </w:r>
      <w:proofErr w:type="spellStart"/>
      <w:r w:rsidRPr="00F02674">
        <w:rPr>
          <w:highlight w:val="yellow"/>
        </w:rPr>
        <w:t>e.i.r.p</w:t>
      </w:r>
      <w:proofErr w:type="spellEnd"/>
      <w:r w:rsidRPr="00F02674">
        <w:rPr>
          <w:highlight w:val="yellow"/>
        </w:rPr>
        <w:t xml:space="preserve">. spectral density of −20 dBW/Hz and the total </w:t>
      </w:r>
      <w:proofErr w:type="spellStart"/>
      <w:r w:rsidRPr="00F02674">
        <w:rPr>
          <w:highlight w:val="yellow"/>
        </w:rPr>
        <w:t>e.i.r.p</w:t>
      </w:r>
      <w:proofErr w:type="spellEnd"/>
      <w:r w:rsidRPr="00F02674">
        <w:rPr>
          <w:highlight w:val="yellow"/>
        </w:rPr>
        <w:t>. from any non-GSO space station shall not exceed:</w:t>
      </w:r>
    </w:p>
    <w:p w14:paraId="2FAEDB36" w14:textId="77777777" w:rsidR="00F02674" w:rsidRPr="00F02674" w:rsidRDefault="00F02674" w:rsidP="00F02674">
      <w:pPr>
        <w:pStyle w:val="enumlev1"/>
        <w:spacing w:before="0"/>
        <w:rPr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1"/>
        <w:gridCol w:w="1710"/>
      </w:tblGrid>
      <w:tr w:rsidR="00F02674" w:rsidRPr="00F02674" w14:paraId="643AF3AB" w14:textId="77777777" w:rsidTr="00B0417C">
        <w:trPr>
          <w:jc w:val="center"/>
        </w:trPr>
        <w:tc>
          <w:tcPr>
            <w:tcW w:w="2641" w:type="dxa"/>
            <w:vAlign w:val="center"/>
          </w:tcPr>
          <w:p w14:paraId="621C742B" w14:textId="77777777" w:rsidR="00F02674" w:rsidRPr="00F02674" w:rsidRDefault="00F02674" w:rsidP="00B0417C">
            <w:pPr>
              <w:pStyle w:val="Tablehead"/>
              <w:rPr>
                <w:highlight w:val="yellow"/>
              </w:rPr>
            </w:pPr>
            <w:r w:rsidRPr="00F02674">
              <w:rPr>
                <w:highlight w:val="yellow"/>
              </w:rPr>
              <w:t>Transmitting non-GSO space station operational altitude (km)</w:t>
            </w:r>
          </w:p>
        </w:tc>
        <w:tc>
          <w:tcPr>
            <w:tcW w:w="1710" w:type="dxa"/>
            <w:vAlign w:val="center"/>
          </w:tcPr>
          <w:p w14:paraId="78A16F62" w14:textId="77777777" w:rsidR="00F02674" w:rsidRPr="00F02674" w:rsidRDefault="00F02674" w:rsidP="00B0417C">
            <w:pPr>
              <w:pStyle w:val="Tablehead"/>
              <w:rPr>
                <w:highlight w:val="yellow"/>
              </w:rPr>
            </w:pPr>
            <w:r w:rsidRPr="00F02674">
              <w:rPr>
                <w:highlight w:val="yellow"/>
              </w:rPr>
              <w:t xml:space="preserve">Maximum total </w:t>
            </w:r>
            <w:proofErr w:type="spellStart"/>
            <w:r w:rsidRPr="00F02674">
              <w:rPr>
                <w:highlight w:val="yellow"/>
              </w:rPr>
              <w:t>e.i.r.p</w:t>
            </w:r>
            <w:proofErr w:type="spellEnd"/>
            <w:r w:rsidRPr="00F02674">
              <w:rPr>
                <w:highlight w:val="yellow"/>
              </w:rPr>
              <w:t>. (dBW)</w:t>
            </w:r>
          </w:p>
        </w:tc>
      </w:tr>
      <w:tr w:rsidR="00F02674" w:rsidRPr="00F02674" w14:paraId="315E5A8F" w14:textId="77777777" w:rsidTr="00B0417C">
        <w:trPr>
          <w:jc w:val="center"/>
        </w:trPr>
        <w:tc>
          <w:tcPr>
            <w:tcW w:w="2641" w:type="dxa"/>
            <w:vAlign w:val="center"/>
          </w:tcPr>
          <w:p w14:paraId="44A2C4B5" w14:textId="77777777" w:rsidR="00F02674" w:rsidRPr="00F02674" w:rsidRDefault="00F02674" w:rsidP="00B0417C">
            <w:pPr>
              <w:pStyle w:val="Tabletext"/>
              <w:jc w:val="center"/>
              <w:rPr>
                <w:highlight w:val="yellow"/>
              </w:rPr>
            </w:pPr>
            <w:r w:rsidRPr="00F02674">
              <w:rPr>
                <w:highlight w:val="yellow"/>
              </w:rPr>
              <w:t>altitude &lt; 450</w:t>
            </w:r>
          </w:p>
        </w:tc>
        <w:tc>
          <w:tcPr>
            <w:tcW w:w="1710" w:type="dxa"/>
            <w:vAlign w:val="center"/>
          </w:tcPr>
          <w:p w14:paraId="33612893" w14:textId="77777777" w:rsidR="00F02674" w:rsidRPr="00F02674" w:rsidRDefault="00F02674" w:rsidP="00B0417C">
            <w:pPr>
              <w:pStyle w:val="Tabletext"/>
              <w:jc w:val="center"/>
              <w:rPr>
                <w:highlight w:val="yellow"/>
              </w:rPr>
            </w:pPr>
            <w:r w:rsidRPr="00F02674">
              <w:rPr>
                <w:highlight w:val="yellow"/>
              </w:rPr>
              <w:t>63</w:t>
            </w:r>
          </w:p>
        </w:tc>
      </w:tr>
      <w:tr w:rsidR="00F02674" w:rsidRPr="00F02674" w14:paraId="2EEA5212" w14:textId="77777777" w:rsidTr="00B0417C">
        <w:trPr>
          <w:jc w:val="center"/>
        </w:trPr>
        <w:tc>
          <w:tcPr>
            <w:tcW w:w="2641" w:type="dxa"/>
            <w:vAlign w:val="center"/>
          </w:tcPr>
          <w:p w14:paraId="0BC4DA8C" w14:textId="77777777" w:rsidR="00F02674" w:rsidRPr="00F02674" w:rsidRDefault="00F02674" w:rsidP="00B0417C">
            <w:pPr>
              <w:pStyle w:val="Tabletext"/>
              <w:jc w:val="center"/>
              <w:rPr>
                <w:highlight w:val="yellow"/>
              </w:rPr>
            </w:pPr>
            <w:r w:rsidRPr="00F02674">
              <w:rPr>
                <w:highlight w:val="yellow"/>
              </w:rPr>
              <w:t>450 ≤ altitude &lt; 600</w:t>
            </w:r>
          </w:p>
        </w:tc>
        <w:tc>
          <w:tcPr>
            <w:tcW w:w="1710" w:type="dxa"/>
            <w:vAlign w:val="center"/>
          </w:tcPr>
          <w:p w14:paraId="1A00E1FC" w14:textId="77777777" w:rsidR="00F02674" w:rsidRPr="00F02674" w:rsidRDefault="00F02674" w:rsidP="00B0417C">
            <w:pPr>
              <w:pStyle w:val="Tabletext"/>
              <w:jc w:val="center"/>
              <w:rPr>
                <w:highlight w:val="yellow"/>
              </w:rPr>
            </w:pPr>
            <w:r w:rsidRPr="00F02674">
              <w:rPr>
                <w:highlight w:val="yellow"/>
              </w:rPr>
              <w:t>61</w:t>
            </w:r>
          </w:p>
        </w:tc>
      </w:tr>
      <w:tr w:rsidR="00F02674" w:rsidRPr="00F02674" w14:paraId="0CE0912E" w14:textId="77777777" w:rsidTr="00B0417C">
        <w:trPr>
          <w:jc w:val="center"/>
        </w:trPr>
        <w:tc>
          <w:tcPr>
            <w:tcW w:w="2641" w:type="dxa"/>
            <w:vAlign w:val="center"/>
          </w:tcPr>
          <w:p w14:paraId="6E5B47FD" w14:textId="77777777" w:rsidR="00F02674" w:rsidRPr="00F02674" w:rsidRDefault="00F02674" w:rsidP="00B0417C">
            <w:pPr>
              <w:pStyle w:val="Tabletext"/>
              <w:jc w:val="center"/>
              <w:rPr>
                <w:highlight w:val="yellow"/>
              </w:rPr>
            </w:pPr>
            <w:r w:rsidRPr="00F02674">
              <w:rPr>
                <w:highlight w:val="yellow"/>
              </w:rPr>
              <w:t>600 ≤ altitude &lt; 750</w:t>
            </w:r>
          </w:p>
        </w:tc>
        <w:tc>
          <w:tcPr>
            <w:tcW w:w="1710" w:type="dxa"/>
            <w:vAlign w:val="center"/>
          </w:tcPr>
          <w:p w14:paraId="3EE5B1BE" w14:textId="77777777" w:rsidR="00F02674" w:rsidRPr="00F02674" w:rsidRDefault="00F02674" w:rsidP="00B0417C">
            <w:pPr>
              <w:pStyle w:val="Tabletext"/>
              <w:jc w:val="center"/>
              <w:rPr>
                <w:highlight w:val="yellow"/>
              </w:rPr>
            </w:pPr>
            <w:r w:rsidRPr="00F02674">
              <w:rPr>
                <w:highlight w:val="yellow"/>
              </w:rPr>
              <w:t>58</w:t>
            </w:r>
          </w:p>
        </w:tc>
      </w:tr>
      <w:tr w:rsidR="00F02674" w:rsidRPr="00F02674" w14:paraId="2C2E9B2D" w14:textId="77777777" w:rsidTr="00B0417C">
        <w:trPr>
          <w:jc w:val="center"/>
        </w:trPr>
        <w:tc>
          <w:tcPr>
            <w:tcW w:w="2641" w:type="dxa"/>
            <w:vAlign w:val="center"/>
          </w:tcPr>
          <w:p w14:paraId="1E2E4C4F" w14:textId="77777777" w:rsidR="00F02674" w:rsidRPr="00F02674" w:rsidRDefault="00F02674" w:rsidP="00B0417C">
            <w:pPr>
              <w:pStyle w:val="Tabletext"/>
              <w:jc w:val="center"/>
              <w:rPr>
                <w:highlight w:val="yellow"/>
              </w:rPr>
            </w:pPr>
            <w:r w:rsidRPr="00F02674">
              <w:rPr>
                <w:highlight w:val="yellow"/>
              </w:rPr>
              <w:lastRenderedPageBreak/>
              <w:t>750 ≤ altitude &lt; 900</w:t>
            </w:r>
          </w:p>
        </w:tc>
        <w:tc>
          <w:tcPr>
            <w:tcW w:w="1710" w:type="dxa"/>
            <w:vAlign w:val="center"/>
          </w:tcPr>
          <w:p w14:paraId="713227D2" w14:textId="77777777" w:rsidR="00F02674" w:rsidRPr="00F02674" w:rsidRDefault="00F02674" w:rsidP="00B0417C">
            <w:pPr>
              <w:pStyle w:val="Tabletext"/>
              <w:jc w:val="center"/>
              <w:rPr>
                <w:highlight w:val="yellow"/>
              </w:rPr>
            </w:pPr>
            <w:r w:rsidRPr="00F02674">
              <w:rPr>
                <w:highlight w:val="yellow"/>
              </w:rPr>
              <w:t>55</w:t>
            </w:r>
          </w:p>
        </w:tc>
      </w:tr>
      <w:tr w:rsidR="00F02674" w:rsidRPr="00F02674" w14:paraId="5D94168D" w14:textId="77777777" w:rsidTr="00B0417C">
        <w:trPr>
          <w:jc w:val="center"/>
        </w:trPr>
        <w:tc>
          <w:tcPr>
            <w:tcW w:w="2641" w:type="dxa"/>
            <w:vAlign w:val="center"/>
          </w:tcPr>
          <w:p w14:paraId="1303D8CE" w14:textId="77777777" w:rsidR="00F02674" w:rsidRPr="00F02674" w:rsidRDefault="00F02674" w:rsidP="00B0417C">
            <w:pPr>
              <w:pStyle w:val="Tabletext"/>
              <w:jc w:val="center"/>
              <w:rPr>
                <w:highlight w:val="yellow"/>
              </w:rPr>
            </w:pPr>
            <w:r w:rsidRPr="00F02674">
              <w:rPr>
                <w:highlight w:val="yellow"/>
              </w:rPr>
              <w:t>900 ≤ altitude &lt; 1 290</w:t>
            </w:r>
          </w:p>
        </w:tc>
        <w:tc>
          <w:tcPr>
            <w:tcW w:w="1710" w:type="dxa"/>
            <w:vAlign w:val="center"/>
          </w:tcPr>
          <w:p w14:paraId="15A106F1" w14:textId="77777777" w:rsidR="00F02674" w:rsidRPr="00F02674" w:rsidRDefault="00F02674" w:rsidP="00B0417C">
            <w:pPr>
              <w:pStyle w:val="Tabletext"/>
              <w:jc w:val="center"/>
              <w:rPr>
                <w:highlight w:val="yellow"/>
              </w:rPr>
            </w:pPr>
            <w:r w:rsidRPr="00F02674">
              <w:rPr>
                <w:highlight w:val="yellow"/>
              </w:rPr>
              <w:t>TBD</w:t>
            </w:r>
          </w:p>
        </w:tc>
      </w:tr>
      <w:tr w:rsidR="00F02674" w:rsidRPr="00F02674" w14:paraId="5BAE0E67" w14:textId="77777777" w:rsidTr="00B0417C">
        <w:trPr>
          <w:jc w:val="center"/>
        </w:trPr>
        <w:tc>
          <w:tcPr>
            <w:tcW w:w="2641" w:type="dxa"/>
            <w:vAlign w:val="center"/>
          </w:tcPr>
          <w:p w14:paraId="1532189C" w14:textId="77777777" w:rsidR="00F02674" w:rsidRPr="00F02674" w:rsidRDefault="00F02674" w:rsidP="00B0417C">
            <w:pPr>
              <w:pStyle w:val="Tabletext"/>
              <w:jc w:val="center"/>
              <w:rPr>
                <w:highlight w:val="yellow"/>
              </w:rPr>
            </w:pPr>
            <w:r w:rsidRPr="00F02674">
              <w:rPr>
                <w:highlight w:val="yellow"/>
              </w:rPr>
              <w:t>altitude ≥ 1 290</w:t>
            </w:r>
          </w:p>
        </w:tc>
        <w:tc>
          <w:tcPr>
            <w:tcW w:w="1710" w:type="dxa"/>
            <w:vAlign w:val="center"/>
          </w:tcPr>
          <w:p w14:paraId="3DE6D60A" w14:textId="77777777" w:rsidR="00F02674" w:rsidRPr="00F02674" w:rsidRDefault="00F02674" w:rsidP="00B0417C">
            <w:pPr>
              <w:pStyle w:val="Tabletext"/>
              <w:jc w:val="center"/>
              <w:rPr>
                <w:highlight w:val="yellow"/>
              </w:rPr>
            </w:pPr>
            <w:r w:rsidRPr="00F02674">
              <w:rPr>
                <w:highlight w:val="yellow"/>
              </w:rPr>
              <w:t>N/A</w:t>
            </w:r>
          </w:p>
        </w:tc>
      </w:tr>
    </w:tbl>
    <w:p w14:paraId="3F6B7E47" w14:textId="77777777" w:rsidR="00F02674" w:rsidRPr="00F02674" w:rsidRDefault="00F02674" w:rsidP="00F02674">
      <w:pPr>
        <w:pStyle w:val="Tablefin"/>
        <w:rPr>
          <w:highlight w:val="yellow"/>
        </w:rPr>
      </w:pPr>
    </w:p>
    <w:p w14:paraId="19D8431C" w14:textId="5BB6E0F5" w:rsidR="00F02674" w:rsidRPr="00F02674" w:rsidRDefault="00F02674" w:rsidP="00F02674">
      <w:pPr>
        <w:pStyle w:val="enumlev1"/>
        <w:rPr>
          <w:highlight w:val="yellow"/>
        </w:rPr>
      </w:pPr>
      <w:r w:rsidRPr="00F02674">
        <w:rPr>
          <w:i/>
          <w:iCs/>
          <w:highlight w:val="yellow"/>
        </w:rPr>
        <w:t>c bis)</w:t>
      </w:r>
      <w:r w:rsidRPr="00F02674">
        <w:rPr>
          <w:highlight w:val="yellow"/>
        </w:rPr>
        <w:tab/>
      </w:r>
      <w:r w:rsidRPr="00F02674">
        <w:rPr>
          <w:highlight w:val="yellow"/>
          <w:lang w:eastAsia="zh-CN"/>
        </w:rPr>
        <w:t>The emissions from any</w:t>
      </w:r>
      <w:r w:rsidRPr="00F02674">
        <w:rPr>
          <w:highlight w:val="yellow"/>
        </w:rPr>
        <w:t xml:space="preserve"> non-GSO space station transmitting in the frequency bands 27.5-29.1 GHz and 29.5-30 GHz to communicate with a non-GSO system with a minimum operational altitude lower than 2 000 km shall not exceed an on-axis </w:t>
      </w:r>
      <w:proofErr w:type="spellStart"/>
      <w:r w:rsidRPr="00F02674">
        <w:rPr>
          <w:highlight w:val="yellow"/>
        </w:rPr>
        <w:t>e.i.r.p</w:t>
      </w:r>
      <w:proofErr w:type="spellEnd"/>
      <w:r w:rsidRPr="00F02674">
        <w:rPr>
          <w:highlight w:val="yellow"/>
        </w:rPr>
        <w:t xml:space="preserve">. spectral density of </w:t>
      </w:r>
      <w:r w:rsidR="000A16CD" w:rsidRPr="000A16CD">
        <w:rPr>
          <w:highlight w:val="cyan"/>
        </w:rPr>
        <w:t>[</w:t>
      </w:r>
      <w:r w:rsidR="006D11D4" w:rsidRPr="00947ED5">
        <w:rPr>
          <w:b/>
          <w:bCs/>
          <w:highlight w:val="cyan"/>
        </w:rPr>
        <w:t>KOR</w:t>
      </w:r>
      <w:r w:rsidR="006D11D4" w:rsidRPr="000A16CD">
        <w:rPr>
          <w:highlight w:val="cyan"/>
        </w:rPr>
        <w:t xml:space="preserve">: </w:t>
      </w:r>
      <w:r w:rsidR="006D11D4">
        <w:rPr>
          <w:highlight w:val="yellow"/>
        </w:rPr>
        <w:t>(</w:t>
      </w:r>
      <w:r w:rsidR="006D11D4" w:rsidRPr="00F02674">
        <w:rPr>
          <w:highlight w:val="yellow"/>
        </w:rPr>
        <w:t>−</w:t>
      </w:r>
      <w:r w:rsidR="006D11D4">
        <w:rPr>
          <w:highlight w:val="yellow"/>
        </w:rPr>
        <w:t>26/</w:t>
      </w:r>
      <w:r w:rsidR="006D11D4" w:rsidRPr="00F02674">
        <w:rPr>
          <w:highlight w:val="yellow"/>
        </w:rPr>
        <w:t>−</w:t>
      </w:r>
      <w:r w:rsidR="006D11D4">
        <w:rPr>
          <w:highlight w:val="yellow"/>
        </w:rPr>
        <w:t>28/</w:t>
      </w:r>
      <w:r w:rsidR="006D11D4" w:rsidRPr="00F02674">
        <w:rPr>
          <w:highlight w:val="yellow"/>
        </w:rPr>
        <w:t>−30)</w:t>
      </w:r>
      <w:r w:rsidR="00E7214E" w:rsidRPr="00E7214E">
        <w:rPr>
          <w:b/>
          <w:bCs/>
          <w:highlight w:val="cyan"/>
        </w:rPr>
        <w:t>]</w:t>
      </w:r>
      <w:r w:rsidR="006D11D4">
        <w:rPr>
          <w:highlight w:val="yellow"/>
        </w:rPr>
        <w:t xml:space="preserve"> </w:t>
      </w:r>
      <w:r w:rsidR="00E7214E">
        <w:rPr>
          <w:b/>
          <w:bCs/>
          <w:highlight w:val="cyan"/>
        </w:rPr>
        <w:t>[A</w:t>
      </w:r>
      <w:r w:rsidR="006D11D4" w:rsidRPr="00947ED5">
        <w:rPr>
          <w:b/>
          <w:bCs/>
          <w:highlight w:val="cyan"/>
        </w:rPr>
        <w:t>TU</w:t>
      </w:r>
      <w:r w:rsidR="006D11D4" w:rsidRPr="000A16CD">
        <w:rPr>
          <w:highlight w:val="cyan"/>
        </w:rPr>
        <w:t>:</w:t>
      </w:r>
      <w:r w:rsidR="000A16CD">
        <w:rPr>
          <w:highlight w:val="cyan"/>
        </w:rPr>
        <w:t xml:space="preserve"> </w:t>
      </w:r>
      <w:r w:rsidRPr="00F02674">
        <w:rPr>
          <w:highlight w:val="yellow"/>
        </w:rPr>
        <w:t>−30)</w:t>
      </w:r>
      <w:r w:rsidR="00E7214E" w:rsidRPr="00E7214E">
        <w:rPr>
          <w:b/>
          <w:bCs/>
          <w:highlight w:val="cyan"/>
        </w:rPr>
        <w:t>]</w:t>
      </w:r>
      <w:r w:rsidRPr="00F02674">
        <w:rPr>
          <w:highlight w:val="yellow"/>
        </w:rPr>
        <w:t xml:space="preserve"> dBW/Hz and the total </w:t>
      </w:r>
      <w:proofErr w:type="spellStart"/>
      <w:r w:rsidRPr="00F02674">
        <w:rPr>
          <w:highlight w:val="yellow"/>
        </w:rPr>
        <w:t>e.i.r.p</w:t>
      </w:r>
      <w:proofErr w:type="spellEnd"/>
      <w:r w:rsidRPr="00F02674">
        <w:rPr>
          <w:highlight w:val="yellow"/>
        </w:rPr>
        <w:t xml:space="preserve">. from any non-GSO space station shall not exceed: </w:t>
      </w:r>
    </w:p>
    <w:p w14:paraId="1893506E" w14:textId="77777777" w:rsidR="00F02674" w:rsidRPr="00F02674" w:rsidRDefault="00F02674" w:rsidP="00F02674">
      <w:pPr>
        <w:pStyle w:val="enumlev1"/>
        <w:spacing w:before="0"/>
        <w:rPr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1"/>
        <w:gridCol w:w="1710"/>
      </w:tblGrid>
      <w:tr w:rsidR="00F02674" w:rsidRPr="00F02674" w14:paraId="03F3D060" w14:textId="77777777" w:rsidTr="00B0417C">
        <w:trPr>
          <w:jc w:val="center"/>
        </w:trPr>
        <w:tc>
          <w:tcPr>
            <w:tcW w:w="2641" w:type="dxa"/>
            <w:vAlign w:val="center"/>
          </w:tcPr>
          <w:p w14:paraId="66815BD5" w14:textId="77777777" w:rsidR="00F02674" w:rsidRPr="00F02674" w:rsidRDefault="00F02674" w:rsidP="00B0417C">
            <w:pPr>
              <w:pStyle w:val="Tablehead"/>
              <w:rPr>
                <w:highlight w:val="yellow"/>
              </w:rPr>
            </w:pPr>
            <w:r w:rsidRPr="00F02674">
              <w:rPr>
                <w:highlight w:val="yellow"/>
              </w:rPr>
              <w:t>Transmitting non-GSO space station operational altitude (km)</w:t>
            </w:r>
          </w:p>
        </w:tc>
        <w:tc>
          <w:tcPr>
            <w:tcW w:w="1710" w:type="dxa"/>
            <w:vAlign w:val="center"/>
          </w:tcPr>
          <w:p w14:paraId="0BACEC59" w14:textId="77777777" w:rsidR="00F02674" w:rsidRPr="00F02674" w:rsidRDefault="00F02674" w:rsidP="00B0417C">
            <w:pPr>
              <w:pStyle w:val="Tablehead"/>
              <w:rPr>
                <w:highlight w:val="yellow"/>
              </w:rPr>
            </w:pPr>
            <w:r w:rsidRPr="00F02674">
              <w:rPr>
                <w:highlight w:val="yellow"/>
              </w:rPr>
              <w:t xml:space="preserve">Maximum total </w:t>
            </w:r>
            <w:proofErr w:type="spellStart"/>
            <w:r w:rsidRPr="00F02674">
              <w:rPr>
                <w:highlight w:val="yellow"/>
              </w:rPr>
              <w:t>e.i.r.p</w:t>
            </w:r>
            <w:proofErr w:type="spellEnd"/>
            <w:r w:rsidRPr="00F02674">
              <w:rPr>
                <w:highlight w:val="yellow"/>
              </w:rPr>
              <w:t>. (dBW)</w:t>
            </w:r>
          </w:p>
        </w:tc>
      </w:tr>
      <w:tr w:rsidR="00F02674" w:rsidRPr="00F02674" w14:paraId="6B1EFD3B" w14:textId="77777777" w:rsidTr="00B0417C">
        <w:trPr>
          <w:jc w:val="center"/>
        </w:trPr>
        <w:tc>
          <w:tcPr>
            <w:tcW w:w="2641" w:type="dxa"/>
            <w:vAlign w:val="center"/>
          </w:tcPr>
          <w:p w14:paraId="3B8DB5A3" w14:textId="77777777" w:rsidR="00F02674" w:rsidRPr="00F02674" w:rsidRDefault="00F02674" w:rsidP="00B0417C">
            <w:pPr>
              <w:pStyle w:val="Tabletext"/>
              <w:keepNext/>
              <w:keepLines/>
              <w:jc w:val="center"/>
              <w:rPr>
                <w:highlight w:val="yellow"/>
              </w:rPr>
            </w:pPr>
            <w:r w:rsidRPr="00F02674">
              <w:rPr>
                <w:highlight w:val="yellow"/>
              </w:rPr>
              <w:t>altitude &lt; 450</w:t>
            </w:r>
          </w:p>
        </w:tc>
        <w:tc>
          <w:tcPr>
            <w:tcW w:w="1710" w:type="dxa"/>
            <w:vAlign w:val="center"/>
          </w:tcPr>
          <w:p w14:paraId="467E01FC" w14:textId="77777777" w:rsidR="00F02674" w:rsidRPr="00F02674" w:rsidRDefault="00F02674" w:rsidP="00B0417C">
            <w:pPr>
              <w:pStyle w:val="Tabletext"/>
              <w:keepNext/>
              <w:keepLines/>
              <w:jc w:val="center"/>
              <w:rPr>
                <w:highlight w:val="yellow"/>
              </w:rPr>
            </w:pPr>
            <w:r w:rsidRPr="00F02674">
              <w:rPr>
                <w:highlight w:val="yellow"/>
              </w:rPr>
              <w:t>60</w:t>
            </w:r>
          </w:p>
        </w:tc>
      </w:tr>
      <w:tr w:rsidR="00F02674" w:rsidRPr="00F02674" w14:paraId="22525F3E" w14:textId="77777777" w:rsidTr="00B0417C">
        <w:trPr>
          <w:jc w:val="center"/>
        </w:trPr>
        <w:tc>
          <w:tcPr>
            <w:tcW w:w="2641" w:type="dxa"/>
            <w:vAlign w:val="center"/>
          </w:tcPr>
          <w:p w14:paraId="1EE5B4BA" w14:textId="77777777" w:rsidR="00F02674" w:rsidRPr="00F02674" w:rsidRDefault="00F02674" w:rsidP="00B0417C">
            <w:pPr>
              <w:pStyle w:val="Tabletext"/>
              <w:keepNext/>
              <w:keepLines/>
              <w:jc w:val="center"/>
              <w:rPr>
                <w:highlight w:val="yellow"/>
              </w:rPr>
            </w:pPr>
            <w:r w:rsidRPr="00F02674">
              <w:rPr>
                <w:highlight w:val="yellow"/>
              </w:rPr>
              <w:t>450 ≤ altitude &lt; 600</w:t>
            </w:r>
          </w:p>
        </w:tc>
        <w:tc>
          <w:tcPr>
            <w:tcW w:w="1710" w:type="dxa"/>
            <w:vAlign w:val="center"/>
          </w:tcPr>
          <w:p w14:paraId="6D52F372" w14:textId="77777777" w:rsidR="00F02674" w:rsidRPr="00F02674" w:rsidRDefault="00F02674" w:rsidP="00B0417C">
            <w:pPr>
              <w:pStyle w:val="Tabletext"/>
              <w:keepNext/>
              <w:keepLines/>
              <w:jc w:val="center"/>
              <w:rPr>
                <w:highlight w:val="yellow"/>
              </w:rPr>
            </w:pPr>
            <w:r w:rsidRPr="00F02674">
              <w:rPr>
                <w:highlight w:val="yellow"/>
              </w:rPr>
              <w:t>58</w:t>
            </w:r>
          </w:p>
        </w:tc>
      </w:tr>
      <w:tr w:rsidR="00F02674" w:rsidRPr="00F02674" w14:paraId="685A4590" w14:textId="77777777" w:rsidTr="00B0417C">
        <w:trPr>
          <w:jc w:val="center"/>
        </w:trPr>
        <w:tc>
          <w:tcPr>
            <w:tcW w:w="2641" w:type="dxa"/>
            <w:vAlign w:val="center"/>
          </w:tcPr>
          <w:p w14:paraId="4D1C86B1" w14:textId="77777777" w:rsidR="00F02674" w:rsidRPr="00F02674" w:rsidRDefault="00F02674" w:rsidP="00B0417C">
            <w:pPr>
              <w:pStyle w:val="Tabletext"/>
              <w:keepNext/>
              <w:keepLines/>
              <w:jc w:val="center"/>
              <w:rPr>
                <w:highlight w:val="yellow"/>
              </w:rPr>
            </w:pPr>
            <w:r w:rsidRPr="00F02674">
              <w:rPr>
                <w:highlight w:val="yellow"/>
              </w:rPr>
              <w:t>600 ≤ altitude &lt; 750</w:t>
            </w:r>
          </w:p>
        </w:tc>
        <w:tc>
          <w:tcPr>
            <w:tcW w:w="1710" w:type="dxa"/>
            <w:vAlign w:val="center"/>
          </w:tcPr>
          <w:p w14:paraId="5A6824D7" w14:textId="77777777" w:rsidR="00F02674" w:rsidRPr="00F02674" w:rsidRDefault="00F02674" w:rsidP="00B0417C">
            <w:pPr>
              <w:pStyle w:val="Tabletext"/>
              <w:keepNext/>
              <w:keepLines/>
              <w:jc w:val="center"/>
              <w:rPr>
                <w:highlight w:val="yellow"/>
              </w:rPr>
            </w:pPr>
            <w:r w:rsidRPr="00F02674">
              <w:rPr>
                <w:highlight w:val="yellow"/>
              </w:rPr>
              <w:t>55</w:t>
            </w:r>
          </w:p>
        </w:tc>
      </w:tr>
      <w:tr w:rsidR="00F02674" w:rsidRPr="00F02674" w14:paraId="5BD73EE5" w14:textId="77777777" w:rsidTr="00B0417C">
        <w:trPr>
          <w:jc w:val="center"/>
        </w:trPr>
        <w:tc>
          <w:tcPr>
            <w:tcW w:w="2641" w:type="dxa"/>
            <w:vAlign w:val="center"/>
          </w:tcPr>
          <w:p w14:paraId="6A2B9002" w14:textId="77777777" w:rsidR="00F02674" w:rsidRPr="00F02674" w:rsidRDefault="00F02674" w:rsidP="00B0417C">
            <w:pPr>
              <w:pStyle w:val="Tabletext"/>
              <w:keepNext/>
              <w:keepLines/>
              <w:jc w:val="center"/>
              <w:rPr>
                <w:highlight w:val="yellow"/>
              </w:rPr>
            </w:pPr>
            <w:r w:rsidRPr="00F02674">
              <w:rPr>
                <w:highlight w:val="yellow"/>
              </w:rPr>
              <w:t>750 ≤ altitude &lt; 900</w:t>
            </w:r>
          </w:p>
        </w:tc>
        <w:tc>
          <w:tcPr>
            <w:tcW w:w="1710" w:type="dxa"/>
            <w:vAlign w:val="center"/>
          </w:tcPr>
          <w:p w14:paraId="24408FBE" w14:textId="77777777" w:rsidR="00F02674" w:rsidRPr="00F02674" w:rsidRDefault="00F02674" w:rsidP="00B0417C">
            <w:pPr>
              <w:pStyle w:val="Tabletext"/>
              <w:keepNext/>
              <w:keepLines/>
              <w:jc w:val="center"/>
              <w:rPr>
                <w:highlight w:val="yellow"/>
              </w:rPr>
            </w:pPr>
            <w:r w:rsidRPr="00F02674">
              <w:rPr>
                <w:highlight w:val="yellow"/>
              </w:rPr>
              <w:t>53</w:t>
            </w:r>
          </w:p>
        </w:tc>
      </w:tr>
      <w:tr w:rsidR="00F02674" w:rsidRPr="00F02674" w14:paraId="0E641E10" w14:textId="77777777" w:rsidTr="00B0417C">
        <w:trPr>
          <w:jc w:val="center"/>
        </w:trPr>
        <w:tc>
          <w:tcPr>
            <w:tcW w:w="2641" w:type="dxa"/>
            <w:vAlign w:val="center"/>
          </w:tcPr>
          <w:p w14:paraId="6B94ACFB" w14:textId="77777777" w:rsidR="00F02674" w:rsidRPr="00F02674" w:rsidRDefault="00F02674" w:rsidP="00B0417C">
            <w:pPr>
              <w:pStyle w:val="Tabletext"/>
              <w:keepNext/>
              <w:keepLines/>
              <w:jc w:val="center"/>
              <w:rPr>
                <w:highlight w:val="yellow"/>
              </w:rPr>
            </w:pPr>
            <w:r w:rsidRPr="00F02674">
              <w:rPr>
                <w:highlight w:val="yellow"/>
              </w:rPr>
              <w:t>900 ≤ altitude &lt; 1 290</w:t>
            </w:r>
          </w:p>
        </w:tc>
        <w:tc>
          <w:tcPr>
            <w:tcW w:w="1710" w:type="dxa"/>
            <w:vAlign w:val="center"/>
          </w:tcPr>
          <w:p w14:paraId="41BD1890" w14:textId="77777777" w:rsidR="00F02674" w:rsidRPr="00F02674" w:rsidRDefault="00F02674" w:rsidP="00B0417C">
            <w:pPr>
              <w:pStyle w:val="Tabletext"/>
              <w:keepNext/>
              <w:keepLines/>
              <w:jc w:val="center"/>
              <w:rPr>
                <w:highlight w:val="yellow"/>
              </w:rPr>
            </w:pPr>
            <w:r w:rsidRPr="00F02674">
              <w:rPr>
                <w:highlight w:val="yellow"/>
              </w:rPr>
              <w:t>TBD</w:t>
            </w:r>
          </w:p>
        </w:tc>
      </w:tr>
      <w:tr w:rsidR="00F02674" w:rsidRPr="00473B6F" w14:paraId="3DE39C77" w14:textId="77777777" w:rsidTr="00B0417C">
        <w:trPr>
          <w:jc w:val="center"/>
        </w:trPr>
        <w:tc>
          <w:tcPr>
            <w:tcW w:w="2641" w:type="dxa"/>
            <w:vAlign w:val="center"/>
          </w:tcPr>
          <w:p w14:paraId="31E205CF" w14:textId="77777777" w:rsidR="00F02674" w:rsidRPr="00F02674" w:rsidRDefault="00F02674" w:rsidP="00B0417C">
            <w:pPr>
              <w:pStyle w:val="Tabletext"/>
              <w:jc w:val="center"/>
              <w:rPr>
                <w:highlight w:val="yellow"/>
              </w:rPr>
            </w:pPr>
            <w:r w:rsidRPr="00F02674">
              <w:rPr>
                <w:highlight w:val="yellow"/>
              </w:rPr>
              <w:t>altitude ≥ 1 290</w:t>
            </w:r>
          </w:p>
        </w:tc>
        <w:tc>
          <w:tcPr>
            <w:tcW w:w="1710" w:type="dxa"/>
            <w:vAlign w:val="center"/>
          </w:tcPr>
          <w:p w14:paraId="4705A04E" w14:textId="77777777" w:rsidR="00F02674" w:rsidRPr="00473B6F" w:rsidRDefault="00F02674" w:rsidP="00B0417C">
            <w:pPr>
              <w:pStyle w:val="Tabletext"/>
              <w:jc w:val="center"/>
            </w:pPr>
            <w:r w:rsidRPr="00F02674">
              <w:rPr>
                <w:highlight w:val="yellow"/>
              </w:rPr>
              <w:t>N/A</w:t>
            </w:r>
          </w:p>
        </w:tc>
      </w:tr>
    </w:tbl>
    <w:p w14:paraId="05741F39" w14:textId="61B85D10" w:rsidR="00807AF1" w:rsidRDefault="00807AF1" w:rsidP="00807AF1">
      <w:pPr>
        <w:pStyle w:val="Tablefin"/>
        <w:rPr>
          <w:i/>
          <w:iCs/>
        </w:rPr>
      </w:pPr>
      <w:r w:rsidRPr="00F14E35">
        <w:rPr>
          <w:i/>
          <w:iCs/>
          <w:highlight w:val="cyan"/>
        </w:rPr>
        <w:t>]</w:t>
      </w:r>
    </w:p>
    <w:p w14:paraId="021772BD" w14:textId="5CFC2C29" w:rsidR="00BB17FF" w:rsidRDefault="00BB17FF" w:rsidP="00BB17FF">
      <w:pPr>
        <w:pStyle w:val="enumlev1"/>
        <w:rPr>
          <w:i/>
          <w:iCs/>
          <w:lang w:eastAsia="zh-CN"/>
        </w:rPr>
      </w:pPr>
      <w:r w:rsidRPr="00372CBC">
        <w:rPr>
          <w:i/>
          <w:iCs/>
          <w:highlight w:val="cyan"/>
          <w:lang w:eastAsia="zh-CN"/>
        </w:rPr>
        <w:t>[</w:t>
      </w:r>
      <w:r w:rsidR="0012077B">
        <w:rPr>
          <w:i/>
          <w:iCs/>
          <w:highlight w:val="cyan"/>
          <w:lang w:eastAsia="zh-CN"/>
        </w:rPr>
        <w:t xml:space="preserve">ASMG </w:t>
      </w:r>
      <w:r>
        <w:rPr>
          <w:i/>
          <w:iCs/>
          <w:highlight w:val="cyan"/>
          <w:lang w:eastAsia="zh-CN"/>
        </w:rPr>
        <w:t>Alternative</w:t>
      </w:r>
      <w:r w:rsidRPr="00372CBC">
        <w:rPr>
          <w:i/>
          <w:iCs/>
          <w:highlight w:val="cyan"/>
          <w:lang w:eastAsia="zh-CN"/>
        </w:rPr>
        <w:t xml:space="preserve"> 1</w:t>
      </w:r>
      <w:r>
        <w:rPr>
          <w:i/>
          <w:iCs/>
          <w:highlight w:val="cyan"/>
          <w:lang w:eastAsia="zh-CN"/>
        </w:rPr>
        <w:t>6</w:t>
      </w:r>
      <w:r w:rsidR="009A7D43">
        <w:rPr>
          <w:i/>
          <w:iCs/>
          <w:highlight w:val="cyan"/>
          <w:lang w:eastAsia="zh-CN"/>
        </w:rPr>
        <w:t>e</w:t>
      </w:r>
      <w:r w:rsidR="00375102">
        <w:rPr>
          <w:i/>
          <w:iCs/>
          <w:highlight w:val="cyan"/>
          <w:lang w:eastAsia="zh-CN"/>
        </w:rPr>
        <w:t>4</w:t>
      </w:r>
      <w:r w:rsidRPr="00372CBC">
        <w:rPr>
          <w:i/>
          <w:iCs/>
          <w:highlight w:val="cyan"/>
          <w:lang w:eastAsia="zh-CN"/>
        </w:rPr>
        <w:t>:</w:t>
      </w:r>
    </w:p>
    <w:p w14:paraId="589961D3" w14:textId="3DD89B97" w:rsidR="00BB17FF" w:rsidRPr="00807AF1" w:rsidRDefault="00BB17FF" w:rsidP="00BB17FF">
      <w:pPr>
        <w:pStyle w:val="enumlev1"/>
        <w:rPr>
          <w:highlight w:val="yellow"/>
        </w:rPr>
      </w:pPr>
      <w:r w:rsidRPr="00807AF1">
        <w:rPr>
          <w:i/>
          <w:iCs/>
          <w:highlight w:val="yellow"/>
        </w:rPr>
        <w:t>c)</w:t>
      </w:r>
      <w:r w:rsidRPr="00807AF1">
        <w:rPr>
          <w:i/>
          <w:iCs/>
          <w:highlight w:val="yellow"/>
        </w:rPr>
        <w:tab/>
      </w:r>
      <w:r w:rsidRPr="00807AF1">
        <w:rPr>
          <w:highlight w:val="yellow"/>
        </w:rPr>
        <w:t>Non-GSO space stations transmitting in the frequency bands 27.5-29.1 GHz and 29.5-30 GHz shall not operate at orbital altitudes greater than or equal to 900 km and less than 1</w:t>
      </w:r>
      <w:r w:rsidR="00A40D11">
        <w:rPr>
          <w:highlight w:val="yellow"/>
        </w:rPr>
        <w:t>29</w:t>
      </w:r>
      <w:r w:rsidRPr="00807AF1">
        <w:rPr>
          <w:highlight w:val="yellow"/>
        </w:rPr>
        <w:t>0 km.</w:t>
      </w:r>
    </w:p>
    <w:p w14:paraId="0F4AB918" w14:textId="77777777" w:rsidR="00BB17FF" w:rsidRPr="00807AF1" w:rsidRDefault="00BB17FF" w:rsidP="00BB17FF">
      <w:pPr>
        <w:pStyle w:val="enumlev1"/>
        <w:rPr>
          <w:highlight w:val="yellow"/>
        </w:rPr>
      </w:pPr>
      <w:r w:rsidRPr="00807AF1">
        <w:rPr>
          <w:i/>
          <w:iCs/>
          <w:highlight w:val="yellow"/>
          <w:lang w:eastAsia="zh-CN"/>
        </w:rPr>
        <w:t>d)</w:t>
      </w:r>
      <w:r w:rsidRPr="00807AF1">
        <w:rPr>
          <w:highlight w:val="yellow"/>
          <w:lang w:eastAsia="zh-CN"/>
        </w:rPr>
        <w:tab/>
        <w:t>The emissions from any</w:t>
      </w:r>
      <w:r w:rsidRPr="00807AF1">
        <w:rPr>
          <w:highlight w:val="yellow"/>
        </w:rPr>
        <w:t xml:space="preserve"> non-GSO space station transmitting in the frequency bands 27.5-29.1 GHz and 29.5-30 GHz to communicate with a non-GSO system with a minimum operational altitude higher than 2 000 km shall not exceed an on-axis </w:t>
      </w:r>
      <w:proofErr w:type="spellStart"/>
      <w:r w:rsidRPr="00807AF1">
        <w:rPr>
          <w:highlight w:val="yellow"/>
        </w:rPr>
        <w:t>e.i.r.p</w:t>
      </w:r>
      <w:proofErr w:type="spellEnd"/>
      <w:r w:rsidRPr="00807AF1">
        <w:rPr>
          <w:highlight w:val="yellow"/>
        </w:rPr>
        <w:t xml:space="preserve">. spectral density of −20 dBW/Hz and the total </w:t>
      </w:r>
      <w:proofErr w:type="spellStart"/>
      <w:r w:rsidRPr="00807AF1">
        <w:rPr>
          <w:highlight w:val="yellow"/>
        </w:rPr>
        <w:t>e.i.r.p</w:t>
      </w:r>
      <w:proofErr w:type="spellEnd"/>
      <w:r w:rsidRPr="00807AF1">
        <w:rPr>
          <w:highlight w:val="yellow"/>
        </w:rPr>
        <w:t>. from any non-GSO space station shall not exceed:</w:t>
      </w:r>
    </w:p>
    <w:p w14:paraId="40AB853E" w14:textId="77777777" w:rsidR="00BB17FF" w:rsidRPr="00807AF1" w:rsidDel="006831F1" w:rsidRDefault="00BB17FF" w:rsidP="00BB17FF">
      <w:pPr>
        <w:pStyle w:val="enumlev1"/>
        <w:rPr>
          <w:highlight w:val="yellow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41"/>
        <w:gridCol w:w="1710"/>
      </w:tblGrid>
      <w:tr w:rsidR="00BB17FF" w:rsidRPr="00807AF1" w14:paraId="1CC4BC87" w14:textId="77777777" w:rsidTr="00B0417C">
        <w:trPr>
          <w:jc w:val="center"/>
        </w:trPr>
        <w:tc>
          <w:tcPr>
            <w:tcW w:w="2641" w:type="dxa"/>
            <w:vAlign w:val="center"/>
          </w:tcPr>
          <w:p w14:paraId="0F2365DB" w14:textId="77777777" w:rsidR="00BB17FF" w:rsidRPr="00807AF1" w:rsidRDefault="00BB17FF" w:rsidP="00B0417C">
            <w:pPr>
              <w:pStyle w:val="Tablehead"/>
              <w:rPr>
                <w:highlight w:val="yellow"/>
              </w:rPr>
            </w:pPr>
            <w:r w:rsidRPr="00807AF1">
              <w:rPr>
                <w:highlight w:val="yellow"/>
              </w:rPr>
              <w:t>Transmitting non-GSO space station operational altitude (km)</w:t>
            </w:r>
          </w:p>
        </w:tc>
        <w:tc>
          <w:tcPr>
            <w:tcW w:w="1710" w:type="dxa"/>
            <w:vAlign w:val="center"/>
          </w:tcPr>
          <w:p w14:paraId="5C073D3A" w14:textId="77777777" w:rsidR="00BB17FF" w:rsidRPr="00807AF1" w:rsidRDefault="00BB17FF" w:rsidP="00B0417C">
            <w:pPr>
              <w:pStyle w:val="Tablehead"/>
              <w:rPr>
                <w:highlight w:val="yellow"/>
              </w:rPr>
            </w:pPr>
            <w:r w:rsidRPr="00807AF1">
              <w:rPr>
                <w:highlight w:val="yellow"/>
              </w:rPr>
              <w:t xml:space="preserve">Maximum total </w:t>
            </w:r>
            <w:proofErr w:type="spellStart"/>
            <w:r w:rsidRPr="00807AF1">
              <w:rPr>
                <w:highlight w:val="yellow"/>
              </w:rPr>
              <w:t>e.i.r.p</w:t>
            </w:r>
            <w:proofErr w:type="spellEnd"/>
            <w:r w:rsidRPr="00807AF1">
              <w:rPr>
                <w:highlight w:val="yellow"/>
              </w:rPr>
              <w:t>. (dBW)</w:t>
            </w:r>
          </w:p>
        </w:tc>
      </w:tr>
      <w:tr w:rsidR="00BB17FF" w:rsidRPr="00807AF1" w14:paraId="42E5CE78" w14:textId="77777777" w:rsidTr="00B0417C">
        <w:trPr>
          <w:jc w:val="center"/>
        </w:trPr>
        <w:tc>
          <w:tcPr>
            <w:tcW w:w="2641" w:type="dxa"/>
            <w:vAlign w:val="center"/>
          </w:tcPr>
          <w:p w14:paraId="42815472" w14:textId="77777777" w:rsidR="00BB17FF" w:rsidRPr="00807AF1" w:rsidRDefault="00BB17FF" w:rsidP="00B0417C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altitude &lt; 450</w:t>
            </w:r>
          </w:p>
        </w:tc>
        <w:tc>
          <w:tcPr>
            <w:tcW w:w="1710" w:type="dxa"/>
            <w:vAlign w:val="center"/>
          </w:tcPr>
          <w:p w14:paraId="7691653D" w14:textId="77777777" w:rsidR="00BB17FF" w:rsidRPr="00807AF1" w:rsidRDefault="00BB17FF" w:rsidP="00B0417C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63</w:t>
            </w:r>
          </w:p>
        </w:tc>
      </w:tr>
      <w:tr w:rsidR="00BB17FF" w:rsidRPr="00807AF1" w14:paraId="29DBA5A8" w14:textId="77777777" w:rsidTr="00B0417C">
        <w:trPr>
          <w:jc w:val="center"/>
        </w:trPr>
        <w:tc>
          <w:tcPr>
            <w:tcW w:w="2641" w:type="dxa"/>
            <w:vAlign w:val="center"/>
          </w:tcPr>
          <w:p w14:paraId="052EAE6F" w14:textId="77777777" w:rsidR="00BB17FF" w:rsidRPr="00807AF1" w:rsidRDefault="00BB17FF" w:rsidP="00B0417C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450 ≤ altitude &lt; 600</w:t>
            </w:r>
          </w:p>
        </w:tc>
        <w:tc>
          <w:tcPr>
            <w:tcW w:w="1710" w:type="dxa"/>
            <w:vAlign w:val="center"/>
          </w:tcPr>
          <w:p w14:paraId="6AE68DD2" w14:textId="77777777" w:rsidR="00BB17FF" w:rsidRPr="00807AF1" w:rsidRDefault="00BB17FF" w:rsidP="00B0417C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61</w:t>
            </w:r>
          </w:p>
        </w:tc>
      </w:tr>
      <w:tr w:rsidR="00BB17FF" w:rsidRPr="00807AF1" w14:paraId="62290CEA" w14:textId="77777777" w:rsidTr="00B0417C">
        <w:trPr>
          <w:jc w:val="center"/>
        </w:trPr>
        <w:tc>
          <w:tcPr>
            <w:tcW w:w="2641" w:type="dxa"/>
            <w:vAlign w:val="center"/>
          </w:tcPr>
          <w:p w14:paraId="6A6ED4F4" w14:textId="77777777" w:rsidR="00BB17FF" w:rsidRPr="00807AF1" w:rsidRDefault="00BB17FF" w:rsidP="00B0417C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600 ≤ altitude &lt; 750</w:t>
            </w:r>
          </w:p>
        </w:tc>
        <w:tc>
          <w:tcPr>
            <w:tcW w:w="1710" w:type="dxa"/>
            <w:vAlign w:val="center"/>
          </w:tcPr>
          <w:p w14:paraId="38EC73F3" w14:textId="77777777" w:rsidR="00BB17FF" w:rsidRPr="00807AF1" w:rsidRDefault="00BB17FF" w:rsidP="00B0417C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58</w:t>
            </w:r>
          </w:p>
        </w:tc>
      </w:tr>
      <w:tr w:rsidR="00BB17FF" w:rsidRPr="00807AF1" w14:paraId="328B680E" w14:textId="77777777" w:rsidTr="00B0417C">
        <w:trPr>
          <w:jc w:val="center"/>
        </w:trPr>
        <w:tc>
          <w:tcPr>
            <w:tcW w:w="2641" w:type="dxa"/>
            <w:vAlign w:val="center"/>
          </w:tcPr>
          <w:p w14:paraId="5BE14C77" w14:textId="77777777" w:rsidR="00BB17FF" w:rsidRPr="00807AF1" w:rsidRDefault="00BB17FF" w:rsidP="00B0417C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750 ≤ altitude &lt; 900</w:t>
            </w:r>
          </w:p>
        </w:tc>
        <w:tc>
          <w:tcPr>
            <w:tcW w:w="1710" w:type="dxa"/>
            <w:vAlign w:val="center"/>
          </w:tcPr>
          <w:p w14:paraId="6D3F5ACD" w14:textId="77777777" w:rsidR="00BB17FF" w:rsidRPr="00807AF1" w:rsidRDefault="00BB17FF" w:rsidP="00B0417C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55</w:t>
            </w:r>
          </w:p>
        </w:tc>
      </w:tr>
      <w:tr w:rsidR="00BB17FF" w:rsidRPr="00807AF1" w14:paraId="536581E2" w14:textId="77777777" w:rsidTr="00B0417C">
        <w:trPr>
          <w:jc w:val="center"/>
        </w:trPr>
        <w:tc>
          <w:tcPr>
            <w:tcW w:w="2641" w:type="dxa"/>
            <w:vAlign w:val="center"/>
          </w:tcPr>
          <w:p w14:paraId="2923A50C" w14:textId="2C5A9914" w:rsidR="00BB17FF" w:rsidRPr="00807AF1" w:rsidRDefault="00BB17FF" w:rsidP="00B0417C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altitude ≥ 1 </w:t>
            </w:r>
            <w:r w:rsidR="00A40D11">
              <w:rPr>
                <w:highlight w:val="yellow"/>
              </w:rPr>
              <w:t>290</w:t>
            </w:r>
          </w:p>
        </w:tc>
        <w:tc>
          <w:tcPr>
            <w:tcW w:w="1710" w:type="dxa"/>
            <w:vAlign w:val="center"/>
          </w:tcPr>
          <w:p w14:paraId="577F8D88" w14:textId="77777777" w:rsidR="00BB17FF" w:rsidRPr="00807AF1" w:rsidRDefault="00BB17FF" w:rsidP="00B0417C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N/A</w:t>
            </w:r>
          </w:p>
        </w:tc>
      </w:tr>
    </w:tbl>
    <w:p w14:paraId="78348F05" w14:textId="77777777" w:rsidR="00BB17FF" w:rsidRPr="00807AF1" w:rsidRDefault="00BB17FF" w:rsidP="00BB17FF">
      <w:pPr>
        <w:pStyle w:val="Tablefin"/>
        <w:rPr>
          <w:highlight w:val="yellow"/>
        </w:rPr>
      </w:pPr>
    </w:p>
    <w:p w14:paraId="135F9D71" w14:textId="6EA5CD7F" w:rsidR="00BB17FF" w:rsidRPr="00807AF1" w:rsidRDefault="00BB17FF" w:rsidP="00BB17FF">
      <w:pPr>
        <w:pStyle w:val="enumlev1"/>
        <w:rPr>
          <w:highlight w:val="yellow"/>
        </w:rPr>
      </w:pPr>
      <w:r w:rsidRPr="00807AF1">
        <w:rPr>
          <w:i/>
          <w:iCs/>
          <w:highlight w:val="yellow"/>
          <w:lang w:eastAsia="zh-CN"/>
        </w:rPr>
        <w:t>e)</w:t>
      </w:r>
      <w:r w:rsidRPr="00807AF1">
        <w:rPr>
          <w:highlight w:val="yellow"/>
          <w:lang w:eastAsia="zh-CN"/>
        </w:rPr>
        <w:tab/>
        <w:t>The emissions from any</w:t>
      </w:r>
      <w:r w:rsidRPr="00807AF1">
        <w:rPr>
          <w:highlight w:val="yellow"/>
        </w:rPr>
        <w:t xml:space="preserve"> non-GSO space station transmitting in the frequency bands 27.5-29.1 GHz and 29.5-30 GHz to communicate with a non-GSO system with a minimum operational altitude lower than 2 000 km shall not exceed an on-axis </w:t>
      </w:r>
      <w:proofErr w:type="spellStart"/>
      <w:r w:rsidRPr="00807AF1">
        <w:rPr>
          <w:highlight w:val="yellow"/>
        </w:rPr>
        <w:t>e.i.r.p</w:t>
      </w:r>
      <w:proofErr w:type="spellEnd"/>
      <w:r w:rsidRPr="00807AF1">
        <w:rPr>
          <w:highlight w:val="yellow"/>
        </w:rPr>
        <w:t xml:space="preserve">. spectral density of </w:t>
      </w:r>
      <w:r w:rsidR="00A40D11">
        <w:rPr>
          <w:highlight w:val="yellow"/>
        </w:rPr>
        <w:t>(</w:t>
      </w:r>
      <w:r w:rsidR="00A40D11" w:rsidRPr="00807AF1">
        <w:rPr>
          <w:highlight w:val="yellow"/>
        </w:rPr>
        <w:t>−</w:t>
      </w:r>
      <w:r w:rsidR="00A40D11">
        <w:rPr>
          <w:highlight w:val="yellow"/>
        </w:rPr>
        <w:t>26/</w:t>
      </w:r>
      <w:r w:rsidRPr="00807AF1">
        <w:rPr>
          <w:highlight w:val="yellow"/>
        </w:rPr>
        <w:t>−28</w:t>
      </w:r>
      <w:r w:rsidR="00A40D11">
        <w:rPr>
          <w:highlight w:val="yellow"/>
        </w:rPr>
        <w:t>/</w:t>
      </w:r>
      <w:r w:rsidR="00A40D11" w:rsidRPr="00807AF1">
        <w:rPr>
          <w:highlight w:val="yellow"/>
        </w:rPr>
        <w:t>−</w:t>
      </w:r>
      <w:r w:rsidR="00A40D11">
        <w:rPr>
          <w:highlight w:val="yellow"/>
        </w:rPr>
        <w:t>30)</w:t>
      </w:r>
      <w:r w:rsidRPr="00807AF1">
        <w:rPr>
          <w:highlight w:val="yellow"/>
        </w:rPr>
        <w:t xml:space="preserve"> dBW/Hz and the total </w:t>
      </w:r>
      <w:proofErr w:type="spellStart"/>
      <w:r w:rsidRPr="00807AF1">
        <w:rPr>
          <w:highlight w:val="yellow"/>
        </w:rPr>
        <w:t>e.i.r.p</w:t>
      </w:r>
      <w:proofErr w:type="spellEnd"/>
      <w:r w:rsidRPr="00807AF1">
        <w:rPr>
          <w:highlight w:val="yellow"/>
        </w:rPr>
        <w:t>. from any non-GSO space station shall not exceed:</w:t>
      </w:r>
    </w:p>
    <w:p w14:paraId="5627BDCF" w14:textId="77777777" w:rsidR="00BB17FF" w:rsidRPr="00807AF1" w:rsidRDefault="00BB17FF" w:rsidP="00BB17FF">
      <w:pPr>
        <w:pStyle w:val="enumlev1"/>
        <w:rPr>
          <w:highlight w:val="yellow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41"/>
        <w:gridCol w:w="1710"/>
      </w:tblGrid>
      <w:tr w:rsidR="00BB17FF" w:rsidRPr="00807AF1" w14:paraId="5BF67EB6" w14:textId="77777777" w:rsidTr="00B0417C">
        <w:trPr>
          <w:jc w:val="center"/>
        </w:trPr>
        <w:tc>
          <w:tcPr>
            <w:tcW w:w="2641" w:type="dxa"/>
            <w:vAlign w:val="center"/>
          </w:tcPr>
          <w:p w14:paraId="4DA98C29" w14:textId="77777777" w:rsidR="00BB17FF" w:rsidRPr="00807AF1" w:rsidRDefault="00BB17FF" w:rsidP="00B0417C">
            <w:pPr>
              <w:pStyle w:val="Tablehead"/>
              <w:rPr>
                <w:highlight w:val="yellow"/>
              </w:rPr>
            </w:pPr>
            <w:r w:rsidRPr="00807AF1">
              <w:rPr>
                <w:highlight w:val="yellow"/>
              </w:rPr>
              <w:lastRenderedPageBreak/>
              <w:t>Transmitting non-GSO space station operational altitude (km)</w:t>
            </w:r>
          </w:p>
        </w:tc>
        <w:tc>
          <w:tcPr>
            <w:tcW w:w="1710" w:type="dxa"/>
            <w:vAlign w:val="center"/>
          </w:tcPr>
          <w:p w14:paraId="7C72D230" w14:textId="77777777" w:rsidR="00BB17FF" w:rsidRPr="00807AF1" w:rsidRDefault="00BB17FF" w:rsidP="00B0417C">
            <w:pPr>
              <w:pStyle w:val="Tablehead"/>
              <w:rPr>
                <w:highlight w:val="yellow"/>
              </w:rPr>
            </w:pPr>
            <w:r w:rsidRPr="00807AF1">
              <w:rPr>
                <w:highlight w:val="yellow"/>
              </w:rPr>
              <w:t xml:space="preserve">Maximum total </w:t>
            </w:r>
            <w:proofErr w:type="spellStart"/>
            <w:r w:rsidRPr="00807AF1">
              <w:rPr>
                <w:highlight w:val="yellow"/>
              </w:rPr>
              <w:t>e.i.r.p</w:t>
            </w:r>
            <w:proofErr w:type="spellEnd"/>
            <w:r w:rsidRPr="00807AF1">
              <w:rPr>
                <w:highlight w:val="yellow"/>
              </w:rPr>
              <w:t>. (dBW)</w:t>
            </w:r>
          </w:p>
        </w:tc>
      </w:tr>
      <w:tr w:rsidR="00BB17FF" w:rsidRPr="00807AF1" w14:paraId="0DE12199" w14:textId="77777777" w:rsidTr="00B0417C">
        <w:trPr>
          <w:jc w:val="center"/>
        </w:trPr>
        <w:tc>
          <w:tcPr>
            <w:tcW w:w="2641" w:type="dxa"/>
            <w:vAlign w:val="center"/>
          </w:tcPr>
          <w:p w14:paraId="1690B9B8" w14:textId="2A1A09F2" w:rsidR="00BB17FF" w:rsidRPr="00807AF1" w:rsidRDefault="00BB17FF" w:rsidP="00B0417C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altitude &lt; 450</w:t>
            </w:r>
          </w:p>
        </w:tc>
        <w:tc>
          <w:tcPr>
            <w:tcW w:w="1710" w:type="dxa"/>
            <w:vAlign w:val="center"/>
          </w:tcPr>
          <w:p w14:paraId="493192FF" w14:textId="77777777" w:rsidR="00BB17FF" w:rsidRPr="00807AF1" w:rsidRDefault="00BB17FF" w:rsidP="00B0417C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60</w:t>
            </w:r>
          </w:p>
        </w:tc>
      </w:tr>
      <w:tr w:rsidR="00BB17FF" w:rsidRPr="00807AF1" w14:paraId="3C21D33F" w14:textId="77777777" w:rsidTr="00B0417C">
        <w:trPr>
          <w:jc w:val="center"/>
        </w:trPr>
        <w:tc>
          <w:tcPr>
            <w:tcW w:w="2641" w:type="dxa"/>
            <w:vAlign w:val="center"/>
          </w:tcPr>
          <w:p w14:paraId="10D29FB6" w14:textId="77777777" w:rsidR="00BB17FF" w:rsidRPr="00807AF1" w:rsidRDefault="00BB17FF" w:rsidP="00B0417C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450 ≤ altitude &lt; 600</w:t>
            </w:r>
          </w:p>
        </w:tc>
        <w:tc>
          <w:tcPr>
            <w:tcW w:w="1710" w:type="dxa"/>
            <w:vAlign w:val="center"/>
          </w:tcPr>
          <w:p w14:paraId="7B45B446" w14:textId="77777777" w:rsidR="00BB17FF" w:rsidRPr="00807AF1" w:rsidRDefault="00BB17FF" w:rsidP="00B0417C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58</w:t>
            </w:r>
          </w:p>
        </w:tc>
      </w:tr>
      <w:tr w:rsidR="00BB17FF" w:rsidRPr="00807AF1" w14:paraId="00AD76E1" w14:textId="77777777" w:rsidTr="00B0417C">
        <w:trPr>
          <w:jc w:val="center"/>
        </w:trPr>
        <w:tc>
          <w:tcPr>
            <w:tcW w:w="2641" w:type="dxa"/>
            <w:vAlign w:val="center"/>
          </w:tcPr>
          <w:p w14:paraId="78B1EE6D" w14:textId="77777777" w:rsidR="00BB17FF" w:rsidRPr="00807AF1" w:rsidRDefault="00BB17FF" w:rsidP="00B0417C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600 ≤ altitude &lt; 750</w:t>
            </w:r>
          </w:p>
        </w:tc>
        <w:tc>
          <w:tcPr>
            <w:tcW w:w="1710" w:type="dxa"/>
            <w:vAlign w:val="center"/>
          </w:tcPr>
          <w:p w14:paraId="5D14C3EE" w14:textId="77777777" w:rsidR="00BB17FF" w:rsidRPr="00807AF1" w:rsidRDefault="00BB17FF" w:rsidP="00B0417C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55</w:t>
            </w:r>
          </w:p>
        </w:tc>
      </w:tr>
      <w:tr w:rsidR="00BB17FF" w:rsidRPr="00807AF1" w14:paraId="630E8239" w14:textId="77777777" w:rsidTr="00B0417C">
        <w:trPr>
          <w:jc w:val="center"/>
        </w:trPr>
        <w:tc>
          <w:tcPr>
            <w:tcW w:w="2641" w:type="dxa"/>
            <w:vAlign w:val="center"/>
          </w:tcPr>
          <w:p w14:paraId="19B63B0E" w14:textId="77777777" w:rsidR="00BB17FF" w:rsidRPr="00807AF1" w:rsidRDefault="00BB17FF" w:rsidP="00B0417C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750 ≤ altitude &lt; 900</w:t>
            </w:r>
          </w:p>
        </w:tc>
        <w:tc>
          <w:tcPr>
            <w:tcW w:w="1710" w:type="dxa"/>
            <w:vAlign w:val="center"/>
          </w:tcPr>
          <w:p w14:paraId="7F044D18" w14:textId="77777777" w:rsidR="00BB17FF" w:rsidRPr="00807AF1" w:rsidRDefault="00BB17FF" w:rsidP="00B0417C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53</w:t>
            </w:r>
          </w:p>
        </w:tc>
      </w:tr>
      <w:tr w:rsidR="00BB17FF" w:rsidRPr="006545EA" w14:paraId="412A07AD" w14:textId="77777777" w:rsidTr="00B0417C">
        <w:trPr>
          <w:jc w:val="center"/>
        </w:trPr>
        <w:tc>
          <w:tcPr>
            <w:tcW w:w="2641" w:type="dxa"/>
            <w:vAlign w:val="center"/>
          </w:tcPr>
          <w:p w14:paraId="3EA6A78A" w14:textId="43D37D1C" w:rsidR="00BB17FF" w:rsidRPr="00807AF1" w:rsidRDefault="00BB17FF" w:rsidP="00B0417C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altitude ≥ 1 290</w:t>
            </w:r>
          </w:p>
        </w:tc>
        <w:tc>
          <w:tcPr>
            <w:tcW w:w="1710" w:type="dxa"/>
            <w:vAlign w:val="center"/>
          </w:tcPr>
          <w:p w14:paraId="1A762304" w14:textId="77777777" w:rsidR="00BB17FF" w:rsidRPr="006545EA" w:rsidRDefault="00BB17FF" w:rsidP="00B0417C">
            <w:pPr>
              <w:pStyle w:val="Tabletext"/>
              <w:jc w:val="center"/>
            </w:pPr>
            <w:r w:rsidRPr="00807AF1">
              <w:rPr>
                <w:highlight w:val="yellow"/>
              </w:rPr>
              <w:t>N/A</w:t>
            </w:r>
          </w:p>
        </w:tc>
      </w:tr>
    </w:tbl>
    <w:p w14:paraId="04754CAC" w14:textId="77777777" w:rsidR="00BB17FF" w:rsidRDefault="00BB17FF" w:rsidP="00BB17FF">
      <w:pPr>
        <w:pStyle w:val="Tablefin"/>
        <w:rPr>
          <w:i/>
          <w:iCs/>
        </w:rPr>
      </w:pPr>
      <w:r w:rsidRPr="00F14E35">
        <w:rPr>
          <w:i/>
          <w:iCs/>
          <w:highlight w:val="cyan"/>
        </w:rPr>
        <w:t>]</w:t>
      </w:r>
    </w:p>
    <w:p w14:paraId="2C63A4D4" w14:textId="49AD3CE2" w:rsidR="00375102" w:rsidRDefault="00375102" w:rsidP="00375102">
      <w:pPr>
        <w:pStyle w:val="enumlev1"/>
        <w:rPr>
          <w:i/>
          <w:iCs/>
          <w:lang w:eastAsia="zh-CN"/>
        </w:rPr>
      </w:pPr>
      <w:r w:rsidRPr="00372CBC">
        <w:rPr>
          <w:i/>
          <w:iCs/>
          <w:highlight w:val="cyan"/>
          <w:lang w:eastAsia="zh-CN"/>
        </w:rPr>
        <w:t>[</w:t>
      </w:r>
      <w:r w:rsidR="0012077B">
        <w:rPr>
          <w:i/>
          <w:iCs/>
          <w:highlight w:val="cyan"/>
          <w:lang w:eastAsia="zh-CN"/>
        </w:rPr>
        <w:t xml:space="preserve">SOL, TON </w:t>
      </w:r>
      <w:r>
        <w:rPr>
          <w:i/>
          <w:iCs/>
          <w:highlight w:val="cyan"/>
          <w:lang w:eastAsia="zh-CN"/>
        </w:rPr>
        <w:t>Alternative</w:t>
      </w:r>
      <w:r w:rsidRPr="00372CBC">
        <w:rPr>
          <w:i/>
          <w:iCs/>
          <w:highlight w:val="cyan"/>
          <w:lang w:eastAsia="zh-CN"/>
        </w:rPr>
        <w:t xml:space="preserve"> 1</w:t>
      </w:r>
      <w:r>
        <w:rPr>
          <w:i/>
          <w:iCs/>
          <w:highlight w:val="cyan"/>
          <w:lang w:eastAsia="zh-CN"/>
        </w:rPr>
        <w:t>6</w:t>
      </w:r>
      <w:r w:rsidR="009A7D43">
        <w:rPr>
          <w:i/>
          <w:iCs/>
          <w:highlight w:val="cyan"/>
          <w:lang w:eastAsia="zh-CN"/>
        </w:rPr>
        <w:t>e</w:t>
      </w:r>
      <w:r w:rsidR="00F20ED2">
        <w:rPr>
          <w:i/>
          <w:iCs/>
          <w:highlight w:val="cyan"/>
          <w:lang w:eastAsia="zh-CN"/>
        </w:rPr>
        <w:t>5</w:t>
      </w:r>
      <w:r w:rsidRPr="00372CBC">
        <w:rPr>
          <w:i/>
          <w:iCs/>
          <w:highlight w:val="cyan"/>
          <w:lang w:eastAsia="zh-CN"/>
        </w:rPr>
        <w:t>:</w:t>
      </w:r>
    </w:p>
    <w:p w14:paraId="05B7187C" w14:textId="77777777" w:rsidR="00375102" w:rsidRPr="00807AF1" w:rsidRDefault="00375102" w:rsidP="00375102">
      <w:pPr>
        <w:pStyle w:val="enumlev1"/>
        <w:rPr>
          <w:highlight w:val="yellow"/>
        </w:rPr>
      </w:pPr>
      <w:r w:rsidRPr="00807AF1">
        <w:rPr>
          <w:i/>
          <w:iCs/>
          <w:highlight w:val="yellow"/>
        </w:rPr>
        <w:t>c)</w:t>
      </w:r>
      <w:r w:rsidRPr="00807AF1">
        <w:rPr>
          <w:i/>
          <w:iCs/>
          <w:highlight w:val="yellow"/>
        </w:rPr>
        <w:tab/>
      </w:r>
      <w:r w:rsidRPr="00807AF1">
        <w:rPr>
          <w:highlight w:val="yellow"/>
        </w:rPr>
        <w:t>Non-GSO space stations transmitting in the frequency bands 27.5-29.1 GHz and 29.5-30 GHz shall not operate at orbital altitudes greater than or equal to 900 km and less than 1350 km.</w:t>
      </w:r>
    </w:p>
    <w:p w14:paraId="5C32FAC0" w14:textId="77777777" w:rsidR="00375102" w:rsidRPr="00807AF1" w:rsidRDefault="00375102" w:rsidP="00375102">
      <w:pPr>
        <w:pStyle w:val="enumlev1"/>
        <w:rPr>
          <w:highlight w:val="yellow"/>
        </w:rPr>
      </w:pPr>
      <w:r w:rsidRPr="00807AF1">
        <w:rPr>
          <w:i/>
          <w:iCs/>
          <w:highlight w:val="yellow"/>
          <w:lang w:eastAsia="zh-CN"/>
        </w:rPr>
        <w:t>d)</w:t>
      </w:r>
      <w:r w:rsidRPr="00807AF1">
        <w:rPr>
          <w:highlight w:val="yellow"/>
          <w:lang w:eastAsia="zh-CN"/>
        </w:rPr>
        <w:tab/>
        <w:t>The emissions from any</w:t>
      </w:r>
      <w:r w:rsidRPr="00807AF1">
        <w:rPr>
          <w:highlight w:val="yellow"/>
        </w:rPr>
        <w:t xml:space="preserve"> non-GSO space station transmitting in the frequency bands 27.5-29.1 GHz and 29.5-30 GHz to communicate with a non-GSO system with a minimum operational altitude higher than 2 000 km shall not exceed an on-axis </w:t>
      </w:r>
      <w:proofErr w:type="spellStart"/>
      <w:r w:rsidRPr="00807AF1">
        <w:rPr>
          <w:highlight w:val="yellow"/>
        </w:rPr>
        <w:t>e.i.r.p</w:t>
      </w:r>
      <w:proofErr w:type="spellEnd"/>
      <w:r w:rsidRPr="00807AF1">
        <w:rPr>
          <w:highlight w:val="yellow"/>
        </w:rPr>
        <w:t xml:space="preserve">. spectral density of −20 dBW/Hz and the total </w:t>
      </w:r>
      <w:proofErr w:type="spellStart"/>
      <w:r w:rsidRPr="00807AF1">
        <w:rPr>
          <w:highlight w:val="yellow"/>
        </w:rPr>
        <w:t>e.i.r.p</w:t>
      </w:r>
      <w:proofErr w:type="spellEnd"/>
      <w:r w:rsidRPr="00807AF1">
        <w:rPr>
          <w:highlight w:val="yellow"/>
        </w:rPr>
        <w:t>. from any non-GSO space station shall not exceed:</w:t>
      </w:r>
    </w:p>
    <w:p w14:paraId="2ACA9050" w14:textId="77777777" w:rsidR="00375102" w:rsidRPr="00807AF1" w:rsidDel="006831F1" w:rsidRDefault="00375102" w:rsidP="00375102">
      <w:pPr>
        <w:pStyle w:val="enumlev1"/>
        <w:rPr>
          <w:highlight w:val="yellow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41"/>
        <w:gridCol w:w="1710"/>
      </w:tblGrid>
      <w:tr w:rsidR="00375102" w:rsidRPr="00807AF1" w14:paraId="508CDEAF" w14:textId="77777777" w:rsidTr="00B0417C">
        <w:trPr>
          <w:jc w:val="center"/>
        </w:trPr>
        <w:tc>
          <w:tcPr>
            <w:tcW w:w="2641" w:type="dxa"/>
            <w:vAlign w:val="center"/>
          </w:tcPr>
          <w:p w14:paraId="380F0A81" w14:textId="77777777" w:rsidR="00375102" w:rsidRPr="00807AF1" w:rsidRDefault="00375102" w:rsidP="00B0417C">
            <w:pPr>
              <w:pStyle w:val="Tablehead"/>
              <w:rPr>
                <w:highlight w:val="yellow"/>
              </w:rPr>
            </w:pPr>
            <w:r w:rsidRPr="00807AF1">
              <w:rPr>
                <w:highlight w:val="yellow"/>
              </w:rPr>
              <w:t>Transmitting non-GSO space station operational altitude (km)</w:t>
            </w:r>
          </w:p>
        </w:tc>
        <w:tc>
          <w:tcPr>
            <w:tcW w:w="1710" w:type="dxa"/>
            <w:vAlign w:val="center"/>
          </w:tcPr>
          <w:p w14:paraId="3412CE9B" w14:textId="77777777" w:rsidR="00375102" w:rsidRPr="00807AF1" w:rsidRDefault="00375102" w:rsidP="00B0417C">
            <w:pPr>
              <w:pStyle w:val="Tablehead"/>
              <w:rPr>
                <w:highlight w:val="yellow"/>
              </w:rPr>
            </w:pPr>
            <w:r w:rsidRPr="00807AF1">
              <w:rPr>
                <w:highlight w:val="yellow"/>
              </w:rPr>
              <w:t xml:space="preserve">Maximum total </w:t>
            </w:r>
            <w:proofErr w:type="spellStart"/>
            <w:r w:rsidRPr="00807AF1">
              <w:rPr>
                <w:highlight w:val="yellow"/>
              </w:rPr>
              <w:t>e.i.r.p</w:t>
            </w:r>
            <w:proofErr w:type="spellEnd"/>
            <w:r w:rsidRPr="00807AF1">
              <w:rPr>
                <w:highlight w:val="yellow"/>
              </w:rPr>
              <w:t>. (dBW)</w:t>
            </w:r>
          </w:p>
        </w:tc>
      </w:tr>
      <w:tr w:rsidR="00375102" w:rsidRPr="00807AF1" w14:paraId="4C918F52" w14:textId="77777777" w:rsidTr="00B0417C">
        <w:trPr>
          <w:jc w:val="center"/>
        </w:trPr>
        <w:tc>
          <w:tcPr>
            <w:tcW w:w="2641" w:type="dxa"/>
            <w:vAlign w:val="center"/>
          </w:tcPr>
          <w:p w14:paraId="4747B943" w14:textId="77777777" w:rsidR="00375102" w:rsidRPr="00807AF1" w:rsidRDefault="00375102" w:rsidP="00B0417C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altitude &lt; 450</w:t>
            </w:r>
          </w:p>
        </w:tc>
        <w:tc>
          <w:tcPr>
            <w:tcW w:w="1710" w:type="dxa"/>
            <w:vAlign w:val="center"/>
          </w:tcPr>
          <w:p w14:paraId="259B2971" w14:textId="77777777" w:rsidR="00375102" w:rsidRPr="00807AF1" w:rsidRDefault="00375102" w:rsidP="00B0417C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63</w:t>
            </w:r>
          </w:p>
        </w:tc>
      </w:tr>
      <w:tr w:rsidR="00375102" w:rsidRPr="00807AF1" w14:paraId="662BEE53" w14:textId="77777777" w:rsidTr="00B0417C">
        <w:trPr>
          <w:jc w:val="center"/>
        </w:trPr>
        <w:tc>
          <w:tcPr>
            <w:tcW w:w="2641" w:type="dxa"/>
            <w:vAlign w:val="center"/>
          </w:tcPr>
          <w:p w14:paraId="07340A45" w14:textId="77777777" w:rsidR="00375102" w:rsidRPr="00807AF1" w:rsidRDefault="00375102" w:rsidP="00B0417C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450 ≤ altitude &lt; 600</w:t>
            </w:r>
          </w:p>
        </w:tc>
        <w:tc>
          <w:tcPr>
            <w:tcW w:w="1710" w:type="dxa"/>
            <w:vAlign w:val="center"/>
          </w:tcPr>
          <w:p w14:paraId="727AA57F" w14:textId="77777777" w:rsidR="00375102" w:rsidRPr="00807AF1" w:rsidRDefault="00375102" w:rsidP="00B0417C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61</w:t>
            </w:r>
          </w:p>
        </w:tc>
      </w:tr>
      <w:tr w:rsidR="00375102" w:rsidRPr="00807AF1" w14:paraId="61B8047E" w14:textId="77777777" w:rsidTr="00B0417C">
        <w:trPr>
          <w:jc w:val="center"/>
        </w:trPr>
        <w:tc>
          <w:tcPr>
            <w:tcW w:w="2641" w:type="dxa"/>
            <w:vAlign w:val="center"/>
          </w:tcPr>
          <w:p w14:paraId="3E62C34A" w14:textId="77777777" w:rsidR="00375102" w:rsidRPr="00807AF1" w:rsidRDefault="00375102" w:rsidP="00B0417C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600 ≤ altitude &lt; 750</w:t>
            </w:r>
          </w:p>
        </w:tc>
        <w:tc>
          <w:tcPr>
            <w:tcW w:w="1710" w:type="dxa"/>
            <w:vAlign w:val="center"/>
          </w:tcPr>
          <w:p w14:paraId="6DEABF41" w14:textId="77777777" w:rsidR="00375102" w:rsidRPr="00807AF1" w:rsidRDefault="00375102" w:rsidP="00B0417C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58</w:t>
            </w:r>
          </w:p>
        </w:tc>
      </w:tr>
      <w:tr w:rsidR="00375102" w:rsidRPr="00807AF1" w14:paraId="004424EE" w14:textId="77777777" w:rsidTr="00B0417C">
        <w:trPr>
          <w:jc w:val="center"/>
        </w:trPr>
        <w:tc>
          <w:tcPr>
            <w:tcW w:w="2641" w:type="dxa"/>
            <w:vAlign w:val="center"/>
          </w:tcPr>
          <w:p w14:paraId="6B91348E" w14:textId="77777777" w:rsidR="00375102" w:rsidRPr="00807AF1" w:rsidRDefault="00375102" w:rsidP="00B0417C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750 ≤ altitude &lt; 900</w:t>
            </w:r>
          </w:p>
        </w:tc>
        <w:tc>
          <w:tcPr>
            <w:tcW w:w="1710" w:type="dxa"/>
            <w:vAlign w:val="center"/>
          </w:tcPr>
          <w:p w14:paraId="3C9A232C" w14:textId="77777777" w:rsidR="00375102" w:rsidRPr="00807AF1" w:rsidRDefault="00375102" w:rsidP="00B0417C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55</w:t>
            </w:r>
          </w:p>
        </w:tc>
      </w:tr>
      <w:tr w:rsidR="00375102" w:rsidRPr="00807AF1" w14:paraId="75CFA390" w14:textId="77777777" w:rsidTr="00B0417C">
        <w:trPr>
          <w:jc w:val="center"/>
        </w:trPr>
        <w:tc>
          <w:tcPr>
            <w:tcW w:w="2641" w:type="dxa"/>
            <w:vAlign w:val="center"/>
          </w:tcPr>
          <w:p w14:paraId="51497F0C" w14:textId="77777777" w:rsidR="00375102" w:rsidRPr="00807AF1" w:rsidRDefault="00375102" w:rsidP="00B0417C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altitude ≥ 1 350</w:t>
            </w:r>
          </w:p>
        </w:tc>
        <w:tc>
          <w:tcPr>
            <w:tcW w:w="1710" w:type="dxa"/>
            <w:vAlign w:val="center"/>
          </w:tcPr>
          <w:p w14:paraId="0B9BDF3B" w14:textId="77777777" w:rsidR="00375102" w:rsidRPr="00807AF1" w:rsidRDefault="00375102" w:rsidP="00B0417C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N/A</w:t>
            </w:r>
          </w:p>
        </w:tc>
      </w:tr>
    </w:tbl>
    <w:p w14:paraId="39C2AFF1" w14:textId="77777777" w:rsidR="00375102" w:rsidRPr="00807AF1" w:rsidRDefault="00375102" w:rsidP="00375102">
      <w:pPr>
        <w:pStyle w:val="Tablefin"/>
        <w:rPr>
          <w:highlight w:val="yellow"/>
        </w:rPr>
      </w:pPr>
    </w:p>
    <w:p w14:paraId="7CE4884A" w14:textId="77777777" w:rsidR="00375102" w:rsidRPr="00807AF1" w:rsidRDefault="00375102" w:rsidP="00375102">
      <w:pPr>
        <w:pStyle w:val="enumlev1"/>
        <w:rPr>
          <w:highlight w:val="yellow"/>
        </w:rPr>
      </w:pPr>
      <w:r w:rsidRPr="00807AF1">
        <w:rPr>
          <w:i/>
          <w:iCs/>
          <w:highlight w:val="yellow"/>
          <w:lang w:eastAsia="zh-CN"/>
        </w:rPr>
        <w:t>e)</w:t>
      </w:r>
      <w:r w:rsidRPr="00807AF1">
        <w:rPr>
          <w:highlight w:val="yellow"/>
          <w:lang w:eastAsia="zh-CN"/>
        </w:rPr>
        <w:tab/>
        <w:t>The emissions from any</w:t>
      </w:r>
      <w:r w:rsidRPr="00807AF1">
        <w:rPr>
          <w:highlight w:val="yellow"/>
        </w:rPr>
        <w:t xml:space="preserve"> non-GSO space station transmitting in the frequency bands 27.5-29.1 GHz and 29.5-30 GHz to communicate with a non-GSO system with a minimum operational altitude lower than 2 000 km shall not exceed an on-axis </w:t>
      </w:r>
      <w:proofErr w:type="spellStart"/>
      <w:r w:rsidRPr="00807AF1">
        <w:rPr>
          <w:highlight w:val="yellow"/>
        </w:rPr>
        <w:t>e.i.r.p</w:t>
      </w:r>
      <w:proofErr w:type="spellEnd"/>
      <w:r w:rsidRPr="00807AF1">
        <w:rPr>
          <w:highlight w:val="yellow"/>
        </w:rPr>
        <w:t xml:space="preserve">. spectral density of −28 dBW/Hz and the total </w:t>
      </w:r>
      <w:proofErr w:type="spellStart"/>
      <w:r w:rsidRPr="00807AF1">
        <w:rPr>
          <w:highlight w:val="yellow"/>
        </w:rPr>
        <w:t>e.i.r.p</w:t>
      </w:r>
      <w:proofErr w:type="spellEnd"/>
      <w:r w:rsidRPr="00807AF1">
        <w:rPr>
          <w:highlight w:val="yellow"/>
        </w:rPr>
        <w:t>. from any non-GSO space station shall not exceed:</w:t>
      </w:r>
    </w:p>
    <w:p w14:paraId="664D739E" w14:textId="77777777" w:rsidR="00375102" w:rsidRPr="00807AF1" w:rsidRDefault="00375102" w:rsidP="00375102">
      <w:pPr>
        <w:pStyle w:val="enumlev1"/>
        <w:rPr>
          <w:highlight w:val="yellow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41"/>
        <w:gridCol w:w="1710"/>
      </w:tblGrid>
      <w:tr w:rsidR="00375102" w:rsidRPr="00807AF1" w14:paraId="0C0CCBCB" w14:textId="77777777" w:rsidTr="00B0417C">
        <w:trPr>
          <w:jc w:val="center"/>
        </w:trPr>
        <w:tc>
          <w:tcPr>
            <w:tcW w:w="2641" w:type="dxa"/>
            <w:vAlign w:val="center"/>
          </w:tcPr>
          <w:p w14:paraId="4459749A" w14:textId="77777777" w:rsidR="00375102" w:rsidRPr="00807AF1" w:rsidRDefault="00375102" w:rsidP="00B0417C">
            <w:pPr>
              <w:pStyle w:val="Tablehead"/>
              <w:rPr>
                <w:highlight w:val="yellow"/>
              </w:rPr>
            </w:pPr>
            <w:r w:rsidRPr="00807AF1">
              <w:rPr>
                <w:highlight w:val="yellow"/>
              </w:rPr>
              <w:t>Transmitting non-GSO space station operational altitude (km)</w:t>
            </w:r>
          </w:p>
        </w:tc>
        <w:tc>
          <w:tcPr>
            <w:tcW w:w="1710" w:type="dxa"/>
            <w:vAlign w:val="center"/>
          </w:tcPr>
          <w:p w14:paraId="36DB099E" w14:textId="77777777" w:rsidR="00375102" w:rsidRPr="00807AF1" w:rsidRDefault="00375102" w:rsidP="00B0417C">
            <w:pPr>
              <w:pStyle w:val="Tablehead"/>
              <w:rPr>
                <w:highlight w:val="yellow"/>
              </w:rPr>
            </w:pPr>
            <w:r w:rsidRPr="00807AF1">
              <w:rPr>
                <w:highlight w:val="yellow"/>
              </w:rPr>
              <w:t xml:space="preserve">Maximum total </w:t>
            </w:r>
            <w:proofErr w:type="spellStart"/>
            <w:r w:rsidRPr="00807AF1">
              <w:rPr>
                <w:highlight w:val="yellow"/>
              </w:rPr>
              <w:t>e.i.r.p</w:t>
            </w:r>
            <w:proofErr w:type="spellEnd"/>
            <w:r w:rsidRPr="00807AF1">
              <w:rPr>
                <w:highlight w:val="yellow"/>
              </w:rPr>
              <w:t>. (dBW)</w:t>
            </w:r>
          </w:p>
        </w:tc>
      </w:tr>
      <w:tr w:rsidR="00375102" w:rsidRPr="00807AF1" w14:paraId="14390947" w14:textId="77777777" w:rsidTr="00B0417C">
        <w:trPr>
          <w:jc w:val="center"/>
        </w:trPr>
        <w:tc>
          <w:tcPr>
            <w:tcW w:w="2641" w:type="dxa"/>
            <w:vAlign w:val="center"/>
          </w:tcPr>
          <w:p w14:paraId="534E8B49" w14:textId="2D8B0FBD" w:rsidR="00375102" w:rsidRPr="00807AF1" w:rsidRDefault="00375102" w:rsidP="00B0417C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altitude &lt; 450</w:t>
            </w:r>
          </w:p>
        </w:tc>
        <w:tc>
          <w:tcPr>
            <w:tcW w:w="1710" w:type="dxa"/>
            <w:vAlign w:val="center"/>
          </w:tcPr>
          <w:p w14:paraId="0742440B" w14:textId="77777777" w:rsidR="00375102" w:rsidRPr="00807AF1" w:rsidRDefault="00375102" w:rsidP="00B0417C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60</w:t>
            </w:r>
          </w:p>
        </w:tc>
      </w:tr>
      <w:tr w:rsidR="00375102" w:rsidRPr="00807AF1" w14:paraId="5BDA7BAF" w14:textId="77777777" w:rsidTr="00B0417C">
        <w:trPr>
          <w:jc w:val="center"/>
        </w:trPr>
        <w:tc>
          <w:tcPr>
            <w:tcW w:w="2641" w:type="dxa"/>
            <w:vAlign w:val="center"/>
          </w:tcPr>
          <w:p w14:paraId="6B25B3DE" w14:textId="77777777" w:rsidR="00375102" w:rsidRPr="00807AF1" w:rsidRDefault="00375102" w:rsidP="00B0417C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450 ≤ altitude &lt; 600</w:t>
            </w:r>
          </w:p>
        </w:tc>
        <w:tc>
          <w:tcPr>
            <w:tcW w:w="1710" w:type="dxa"/>
            <w:vAlign w:val="center"/>
          </w:tcPr>
          <w:p w14:paraId="20724C01" w14:textId="77777777" w:rsidR="00375102" w:rsidRPr="00807AF1" w:rsidRDefault="00375102" w:rsidP="00B0417C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58</w:t>
            </w:r>
          </w:p>
        </w:tc>
      </w:tr>
      <w:tr w:rsidR="00375102" w:rsidRPr="00807AF1" w14:paraId="02F6F09F" w14:textId="77777777" w:rsidTr="00B0417C">
        <w:trPr>
          <w:jc w:val="center"/>
        </w:trPr>
        <w:tc>
          <w:tcPr>
            <w:tcW w:w="2641" w:type="dxa"/>
            <w:vAlign w:val="center"/>
          </w:tcPr>
          <w:p w14:paraId="67C7C0B0" w14:textId="77777777" w:rsidR="00375102" w:rsidRPr="00807AF1" w:rsidRDefault="00375102" w:rsidP="00B0417C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600 ≤ altitude &lt; 750</w:t>
            </w:r>
          </w:p>
        </w:tc>
        <w:tc>
          <w:tcPr>
            <w:tcW w:w="1710" w:type="dxa"/>
            <w:vAlign w:val="center"/>
          </w:tcPr>
          <w:p w14:paraId="75381127" w14:textId="77777777" w:rsidR="00375102" w:rsidRPr="00807AF1" w:rsidRDefault="00375102" w:rsidP="00B0417C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55</w:t>
            </w:r>
          </w:p>
        </w:tc>
      </w:tr>
      <w:tr w:rsidR="00375102" w:rsidRPr="00807AF1" w14:paraId="0D79B114" w14:textId="77777777" w:rsidTr="00B0417C">
        <w:trPr>
          <w:jc w:val="center"/>
        </w:trPr>
        <w:tc>
          <w:tcPr>
            <w:tcW w:w="2641" w:type="dxa"/>
            <w:vAlign w:val="center"/>
          </w:tcPr>
          <w:p w14:paraId="5679A328" w14:textId="77777777" w:rsidR="00375102" w:rsidRPr="00807AF1" w:rsidRDefault="00375102" w:rsidP="00B0417C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750 ≤ altitude &lt; 900</w:t>
            </w:r>
          </w:p>
        </w:tc>
        <w:tc>
          <w:tcPr>
            <w:tcW w:w="1710" w:type="dxa"/>
            <w:vAlign w:val="center"/>
          </w:tcPr>
          <w:p w14:paraId="1375137F" w14:textId="77777777" w:rsidR="00375102" w:rsidRPr="00807AF1" w:rsidRDefault="00375102" w:rsidP="00B0417C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53</w:t>
            </w:r>
          </w:p>
        </w:tc>
      </w:tr>
      <w:tr w:rsidR="00375102" w:rsidRPr="006545EA" w14:paraId="008787CE" w14:textId="77777777" w:rsidTr="00B0417C">
        <w:trPr>
          <w:jc w:val="center"/>
        </w:trPr>
        <w:tc>
          <w:tcPr>
            <w:tcW w:w="2641" w:type="dxa"/>
            <w:vAlign w:val="center"/>
          </w:tcPr>
          <w:p w14:paraId="108AF9C0" w14:textId="77777777" w:rsidR="00375102" w:rsidRPr="00807AF1" w:rsidRDefault="00375102" w:rsidP="00B0417C">
            <w:pPr>
              <w:pStyle w:val="Tabletext"/>
              <w:jc w:val="center"/>
              <w:rPr>
                <w:highlight w:val="yellow"/>
              </w:rPr>
            </w:pPr>
            <w:r w:rsidRPr="00807AF1">
              <w:rPr>
                <w:highlight w:val="yellow"/>
              </w:rPr>
              <w:t>altitude ≥ 1 290/1 350</w:t>
            </w:r>
          </w:p>
        </w:tc>
        <w:tc>
          <w:tcPr>
            <w:tcW w:w="1710" w:type="dxa"/>
            <w:vAlign w:val="center"/>
          </w:tcPr>
          <w:p w14:paraId="3E9BF80B" w14:textId="77777777" w:rsidR="00375102" w:rsidRPr="006545EA" w:rsidRDefault="00375102" w:rsidP="00B0417C">
            <w:pPr>
              <w:pStyle w:val="Tabletext"/>
              <w:jc w:val="center"/>
            </w:pPr>
            <w:r w:rsidRPr="00807AF1">
              <w:rPr>
                <w:highlight w:val="yellow"/>
              </w:rPr>
              <w:t>N/A</w:t>
            </w:r>
          </w:p>
        </w:tc>
      </w:tr>
    </w:tbl>
    <w:p w14:paraId="51552AD3" w14:textId="77777777" w:rsidR="001C4DDD" w:rsidRDefault="001C4DDD" w:rsidP="001C4DDD">
      <w:pPr>
        <w:pStyle w:val="Tablefin"/>
        <w:rPr>
          <w:i/>
          <w:iCs/>
        </w:rPr>
      </w:pPr>
      <w:r w:rsidRPr="00F14E35">
        <w:rPr>
          <w:i/>
          <w:iCs/>
          <w:highlight w:val="cyan"/>
        </w:rPr>
        <w:t>]</w:t>
      </w:r>
    </w:p>
    <w:p w14:paraId="1CCA29AA" w14:textId="4A5DAE2D" w:rsidR="00984EA4" w:rsidRDefault="00C3474C" w:rsidP="004D57B7">
      <w:pPr>
        <w:pStyle w:val="enumlev1"/>
        <w:numPr>
          <w:ilvl w:val="0"/>
          <w:numId w:val="32"/>
        </w:numPr>
        <w:rPr>
          <w:lang w:eastAsia="zh-CN"/>
        </w:rPr>
      </w:pPr>
      <w:r w:rsidRPr="006545EA">
        <w:rPr>
          <w:lang w:eastAsia="zh-CN"/>
        </w:rPr>
        <w:t xml:space="preserve">For off-axis angles greater than 3.5 degrees, the off-axis </w:t>
      </w:r>
      <w:proofErr w:type="spellStart"/>
      <w:r w:rsidRPr="006545EA">
        <w:rPr>
          <w:lang w:eastAsia="zh-CN"/>
        </w:rPr>
        <w:t>e.i.r.p</w:t>
      </w:r>
      <w:proofErr w:type="spellEnd"/>
      <w:r w:rsidRPr="006545EA">
        <w:rPr>
          <w:lang w:eastAsia="zh-CN"/>
        </w:rPr>
        <w:t xml:space="preserve">. emissions of a non-GSO space station transmitting in the </w:t>
      </w:r>
      <w:r w:rsidR="00211646" w:rsidRPr="006545EA">
        <w:rPr>
          <w:lang w:eastAsia="zh-CN"/>
        </w:rPr>
        <w:t xml:space="preserve">frequency bands </w:t>
      </w:r>
      <w:r w:rsidRPr="006545EA">
        <w:rPr>
          <w:lang w:eastAsia="zh-CN"/>
        </w:rPr>
        <w:t>27.5-29.1 GHz and 29.5</w:t>
      </w:r>
      <w:r w:rsidRPr="006545EA">
        <w:rPr>
          <w:lang w:eastAsia="zh-CN"/>
        </w:rPr>
        <w:noBreakHyphen/>
        <w:t xml:space="preserve">30 GHz to communicate with a non-GSO </w:t>
      </w:r>
      <w:r w:rsidR="00401129" w:rsidRPr="00372CBC">
        <w:rPr>
          <w:i/>
          <w:iCs/>
          <w:highlight w:val="cyan"/>
          <w:lang w:eastAsia="zh-CN"/>
        </w:rPr>
        <w:t>[</w:t>
      </w:r>
      <w:r w:rsidR="00401129">
        <w:rPr>
          <w:i/>
          <w:iCs/>
          <w:highlight w:val="cyan"/>
          <w:lang w:eastAsia="zh-CN"/>
        </w:rPr>
        <w:t>Option</w:t>
      </w:r>
      <w:r w:rsidR="00401129" w:rsidRPr="00372CBC">
        <w:rPr>
          <w:i/>
          <w:iCs/>
          <w:highlight w:val="cyan"/>
          <w:lang w:eastAsia="zh-CN"/>
        </w:rPr>
        <w:t xml:space="preserve"> 1</w:t>
      </w:r>
      <w:r w:rsidR="00401129">
        <w:rPr>
          <w:i/>
          <w:iCs/>
          <w:highlight w:val="cyan"/>
          <w:lang w:eastAsia="zh-CN"/>
        </w:rPr>
        <w:t>6a</w:t>
      </w:r>
      <w:r w:rsidR="00401129" w:rsidRPr="00FD62A8">
        <w:rPr>
          <w:i/>
          <w:iCs/>
          <w:highlight w:val="cyan"/>
          <w:lang w:eastAsia="zh-CN"/>
        </w:rPr>
        <w:t>:</w:t>
      </w:r>
      <w:r w:rsidR="00FD62A8" w:rsidRPr="00FD62A8">
        <w:rPr>
          <w:i/>
          <w:iCs/>
          <w:highlight w:val="cyan"/>
          <w:lang w:eastAsia="zh-CN"/>
        </w:rPr>
        <w:t xml:space="preserve"> </w:t>
      </w:r>
      <w:r w:rsidRPr="006545EA">
        <w:rPr>
          <w:lang w:eastAsia="zh-CN"/>
        </w:rPr>
        <w:t>ISS</w:t>
      </w:r>
      <w:r w:rsidR="00FD62A8" w:rsidRPr="00FD62A8">
        <w:rPr>
          <w:i/>
          <w:iCs/>
          <w:highlight w:val="cyan"/>
          <w:lang w:eastAsia="zh-CN"/>
        </w:rPr>
        <w:t>]</w:t>
      </w:r>
      <w:r w:rsidRPr="006545EA">
        <w:rPr>
          <w:lang w:eastAsia="zh-CN"/>
        </w:rPr>
        <w:t xml:space="preserve"> system </w:t>
      </w:r>
      <w:r w:rsidRPr="006545EA">
        <w:t xml:space="preserve">with a </w:t>
      </w:r>
      <w:r w:rsidRPr="006545EA">
        <w:rPr>
          <w:lang w:eastAsia="zh-CN"/>
        </w:rPr>
        <w:t xml:space="preserve">minimum operational altitude </w:t>
      </w:r>
      <w:r w:rsidRPr="006545EA">
        <w:rPr>
          <w:lang w:eastAsia="zh-CN"/>
        </w:rPr>
        <w:lastRenderedPageBreak/>
        <w:t xml:space="preserve">higher than 2 000 km shall not exceed the envelope generated by the combination of an input power spectral density at the antenna flange of −62 dBW/Hz coupled with </w:t>
      </w:r>
    </w:p>
    <w:p w14:paraId="21412035" w14:textId="4AF5613F" w:rsidR="00984EA4" w:rsidRDefault="00F408A9" w:rsidP="00984EA4">
      <w:pPr>
        <w:pStyle w:val="enumlev1"/>
        <w:ind w:left="720" w:firstLine="0"/>
        <w:rPr>
          <w:highlight w:val="cyan"/>
          <w:lang w:eastAsia="zh-CN"/>
        </w:rPr>
      </w:pPr>
      <w:r w:rsidRPr="00372CBC">
        <w:rPr>
          <w:i/>
          <w:iCs/>
          <w:highlight w:val="cyan"/>
          <w:lang w:eastAsia="zh-CN"/>
        </w:rPr>
        <w:t>[</w:t>
      </w:r>
      <w:r>
        <w:rPr>
          <w:i/>
          <w:iCs/>
          <w:highlight w:val="cyan"/>
          <w:lang w:eastAsia="zh-CN"/>
        </w:rPr>
        <w:t>Alternative</w:t>
      </w:r>
      <w:r w:rsidRPr="00372CBC">
        <w:rPr>
          <w:i/>
          <w:iCs/>
          <w:highlight w:val="cyan"/>
          <w:lang w:eastAsia="zh-CN"/>
        </w:rPr>
        <w:t xml:space="preserve"> 1</w:t>
      </w:r>
      <w:r>
        <w:rPr>
          <w:i/>
          <w:iCs/>
          <w:highlight w:val="cyan"/>
          <w:lang w:eastAsia="zh-CN"/>
        </w:rPr>
        <w:t>6</w:t>
      </w:r>
      <w:r w:rsidR="009A7D43">
        <w:rPr>
          <w:i/>
          <w:iCs/>
          <w:highlight w:val="cyan"/>
          <w:lang w:eastAsia="zh-CN"/>
        </w:rPr>
        <w:t>f</w:t>
      </w:r>
      <w:r>
        <w:rPr>
          <w:i/>
          <w:iCs/>
          <w:highlight w:val="cyan"/>
          <w:lang w:eastAsia="zh-CN"/>
        </w:rPr>
        <w:t>1</w:t>
      </w:r>
      <w:r w:rsidRPr="00372CBC">
        <w:rPr>
          <w:i/>
          <w:iCs/>
          <w:highlight w:val="cyan"/>
          <w:lang w:eastAsia="zh-CN"/>
        </w:rPr>
        <w:t>:</w:t>
      </w:r>
      <w:r>
        <w:rPr>
          <w:i/>
          <w:iCs/>
          <w:lang w:eastAsia="zh-CN"/>
        </w:rPr>
        <w:t xml:space="preserve"> </w:t>
      </w:r>
      <w:r w:rsidR="00C3474C" w:rsidRPr="00F408A9">
        <w:rPr>
          <w:highlight w:val="yellow"/>
          <w:lang w:eastAsia="zh-CN"/>
        </w:rPr>
        <w:t>the off-axis gain derived from 29-25 </w:t>
      </w:r>
      <w:proofErr w:type="gramStart"/>
      <w:r w:rsidR="00C3474C" w:rsidRPr="00F408A9">
        <w:rPr>
          <w:highlight w:val="yellow"/>
          <w:lang w:eastAsia="zh-CN"/>
        </w:rPr>
        <w:t>log(</w:t>
      </w:r>
      <w:proofErr w:type="gramEnd"/>
      <w:r w:rsidR="00C3474C" w:rsidRPr="00F408A9">
        <w:rPr>
          <w:rFonts w:ascii="Symbol" w:eastAsia="Symbol" w:hAnsi="Symbol" w:cstheme="minorHAnsi"/>
          <w:color w:val="000000"/>
          <w:highlight w:val="yellow"/>
        </w:rPr>
        <w:t>j</w:t>
      </w:r>
      <w:r w:rsidR="00C3474C" w:rsidRPr="00F408A9">
        <w:rPr>
          <w:highlight w:val="yellow"/>
          <w:lang w:eastAsia="zh-CN"/>
        </w:rPr>
        <w:t>) </w:t>
      </w:r>
      <w:proofErr w:type="spellStart"/>
      <w:r w:rsidR="00C3474C" w:rsidRPr="00F408A9">
        <w:rPr>
          <w:highlight w:val="yellow"/>
          <w:lang w:eastAsia="zh-CN"/>
        </w:rPr>
        <w:t>dBi</w:t>
      </w:r>
      <w:proofErr w:type="spellEnd"/>
      <w:r w:rsidR="00C3474C" w:rsidRPr="00F408A9">
        <w:rPr>
          <w:highlight w:val="yellow"/>
          <w:lang w:eastAsia="zh-CN"/>
        </w:rPr>
        <w:t xml:space="preserve"> for angles between 3.5 degrees and 8.5</w:t>
      </w:r>
      <w:r w:rsidR="002E1DD2" w:rsidRPr="00F408A9">
        <w:rPr>
          <w:highlight w:val="yellow"/>
          <w:lang w:eastAsia="zh-CN"/>
        </w:rPr>
        <w:t> </w:t>
      </w:r>
      <w:r w:rsidR="00C3474C" w:rsidRPr="00F408A9">
        <w:rPr>
          <w:highlight w:val="yellow"/>
          <w:lang w:eastAsia="zh-CN"/>
        </w:rPr>
        <w:t xml:space="preserve">degrees, </w:t>
      </w:r>
      <w:r w:rsidR="00E731AC" w:rsidRPr="00F408A9">
        <w:rPr>
          <w:highlight w:val="yellow"/>
          <w:lang w:eastAsia="zh-CN"/>
        </w:rPr>
        <w:t>−</w:t>
      </w:r>
      <w:r w:rsidR="00C3474C" w:rsidRPr="00F408A9">
        <w:rPr>
          <w:highlight w:val="yellow"/>
          <w:lang w:eastAsia="zh-CN"/>
        </w:rPr>
        <w:t>44.82</w:t>
      </w:r>
      <w:r w:rsidR="002E392E" w:rsidRPr="00F408A9">
        <w:rPr>
          <w:highlight w:val="yellow"/>
          <w:lang w:eastAsia="zh-CN"/>
        </w:rPr>
        <w:t> </w:t>
      </w:r>
      <w:r w:rsidR="00C3474C" w:rsidRPr="00F408A9">
        <w:rPr>
          <w:highlight w:val="yellow"/>
          <w:lang w:eastAsia="zh-CN"/>
        </w:rPr>
        <w:t>+</w:t>
      </w:r>
      <w:r w:rsidR="002E392E" w:rsidRPr="00F408A9">
        <w:rPr>
          <w:highlight w:val="yellow"/>
          <w:lang w:eastAsia="zh-CN"/>
        </w:rPr>
        <w:t> </w:t>
      </w:r>
      <w:r w:rsidR="00C3474C" w:rsidRPr="00F408A9">
        <w:rPr>
          <w:highlight w:val="yellow"/>
          <w:lang w:eastAsia="zh-CN"/>
        </w:rPr>
        <w:t>5.95(</w:t>
      </w:r>
      <w:r w:rsidR="00C3474C" w:rsidRPr="00F408A9">
        <w:rPr>
          <w:rFonts w:ascii="Symbol" w:eastAsia="Symbol" w:hAnsi="Symbol" w:cstheme="minorHAnsi"/>
          <w:color w:val="000000"/>
          <w:highlight w:val="yellow"/>
        </w:rPr>
        <w:t>j</w:t>
      </w:r>
      <w:r w:rsidR="00C3474C" w:rsidRPr="00F408A9">
        <w:rPr>
          <w:highlight w:val="yellow"/>
          <w:lang w:eastAsia="zh-CN"/>
        </w:rPr>
        <w:t>) for angles between 8.5 and 9.5</w:t>
      </w:r>
      <w:r w:rsidR="00DC4793" w:rsidRPr="00F408A9">
        <w:rPr>
          <w:highlight w:val="yellow"/>
          <w:lang w:eastAsia="zh-CN"/>
        </w:rPr>
        <w:t> </w:t>
      </w:r>
      <w:r w:rsidR="00C3474C" w:rsidRPr="00F408A9">
        <w:rPr>
          <w:highlight w:val="yellow"/>
          <w:lang w:eastAsia="zh-CN"/>
        </w:rPr>
        <w:t>degrees, and 43-32</w:t>
      </w:r>
      <w:r w:rsidR="00DC4793" w:rsidRPr="00F408A9">
        <w:rPr>
          <w:highlight w:val="yellow"/>
          <w:lang w:eastAsia="zh-CN"/>
        </w:rPr>
        <w:t> </w:t>
      </w:r>
      <w:r w:rsidR="00C3474C" w:rsidRPr="00F408A9">
        <w:rPr>
          <w:highlight w:val="yellow"/>
          <w:lang w:eastAsia="zh-CN"/>
        </w:rPr>
        <w:t>log(</w:t>
      </w:r>
      <w:r w:rsidR="00C3474C" w:rsidRPr="00F408A9">
        <w:rPr>
          <w:rFonts w:ascii="Symbol" w:eastAsia="Symbol" w:hAnsi="Symbol" w:cstheme="minorHAnsi"/>
          <w:color w:val="000000"/>
          <w:highlight w:val="yellow"/>
        </w:rPr>
        <w:t>j</w:t>
      </w:r>
      <w:r w:rsidR="00C3474C" w:rsidRPr="00F408A9">
        <w:rPr>
          <w:highlight w:val="yellow"/>
          <w:lang w:eastAsia="zh-CN"/>
        </w:rPr>
        <w:t>) for angles between 9.5 and 20 degrees</w:t>
      </w:r>
      <w:r w:rsidR="00682E1B">
        <w:rPr>
          <w:highlight w:val="yellow"/>
          <w:lang w:eastAsia="zh-CN"/>
        </w:rPr>
        <w:t>.</w:t>
      </w:r>
      <w:r w:rsidR="00682E1B" w:rsidRPr="00F14E35">
        <w:rPr>
          <w:i/>
          <w:iCs/>
          <w:highlight w:val="cyan"/>
        </w:rPr>
        <w:t>]</w:t>
      </w:r>
      <w:r w:rsidRPr="003720FB">
        <w:rPr>
          <w:highlight w:val="cyan"/>
          <w:lang w:eastAsia="zh-CN"/>
        </w:rPr>
        <w:t xml:space="preserve"> </w:t>
      </w:r>
    </w:p>
    <w:p w14:paraId="5458DB7E" w14:textId="228F673D" w:rsidR="00682E1B" w:rsidRDefault="00F408A9" w:rsidP="00984EA4">
      <w:pPr>
        <w:pStyle w:val="enumlev1"/>
        <w:ind w:left="720" w:firstLine="0"/>
        <w:rPr>
          <w:highlight w:val="cyan"/>
          <w:lang w:eastAsia="zh-CN"/>
        </w:rPr>
      </w:pPr>
      <w:r w:rsidRPr="003720FB">
        <w:rPr>
          <w:i/>
          <w:iCs/>
          <w:highlight w:val="cyan"/>
          <w:lang w:eastAsia="zh-CN"/>
        </w:rPr>
        <w:t>A</w:t>
      </w:r>
      <w:r>
        <w:rPr>
          <w:i/>
          <w:iCs/>
          <w:highlight w:val="cyan"/>
          <w:lang w:eastAsia="zh-CN"/>
        </w:rPr>
        <w:t>lternative</w:t>
      </w:r>
      <w:r w:rsidRPr="00372CBC">
        <w:rPr>
          <w:i/>
          <w:iCs/>
          <w:highlight w:val="cyan"/>
          <w:lang w:eastAsia="zh-CN"/>
        </w:rPr>
        <w:t xml:space="preserve"> 1</w:t>
      </w:r>
      <w:r>
        <w:rPr>
          <w:i/>
          <w:iCs/>
          <w:highlight w:val="cyan"/>
          <w:lang w:eastAsia="zh-CN"/>
        </w:rPr>
        <w:t>6</w:t>
      </w:r>
      <w:r w:rsidR="009A7D43">
        <w:rPr>
          <w:i/>
          <w:iCs/>
          <w:highlight w:val="cyan"/>
          <w:lang w:eastAsia="zh-CN"/>
        </w:rPr>
        <w:t>f</w:t>
      </w:r>
      <w:r>
        <w:rPr>
          <w:i/>
          <w:iCs/>
          <w:highlight w:val="cyan"/>
          <w:lang w:eastAsia="zh-CN"/>
        </w:rPr>
        <w:t>2</w:t>
      </w:r>
      <w:r w:rsidRPr="00372CBC">
        <w:rPr>
          <w:i/>
          <w:iCs/>
          <w:highlight w:val="cyan"/>
          <w:lang w:eastAsia="zh-CN"/>
        </w:rPr>
        <w:t>:</w:t>
      </w:r>
      <w:r w:rsidRPr="00F408A9">
        <w:rPr>
          <w:highlight w:val="yellow"/>
          <w:lang w:eastAsia="zh-CN"/>
        </w:rPr>
        <w:t xml:space="preserve"> the off-axis gain derived from 29-25 </w:t>
      </w:r>
      <w:proofErr w:type="gramStart"/>
      <w:r w:rsidRPr="00F408A9">
        <w:rPr>
          <w:highlight w:val="yellow"/>
          <w:lang w:eastAsia="zh-CN"/>
        </w:rPr>
        <w:t>log(</w:t>
      </w:r>
      <w:proofErr w:type="gramEnd"/>
      <w:r w:rsidRPr="00F408A9">
        <w:rPr>
          <w:rFonts w:ascii="Symbol" w:eastAsia="Symbol" w:hAnsi="Symbol" w:cstheme="minorHAnsi"/>
          <w:color w:val="000000"/>
          <w:highlight w:val="yellow"/>
        </w:rPr>
        <w:t>j</w:t>
      </w:r>
      <w:r w:rsidRPr="00F408A9">
        <w:rPr>
          <w:highlight w:val="yellow"/>
          <w:lang w:eastAsia="zh-CN"/>
        </w:rPr>
        <w:t>) </w:t>
      </w:r>
      <w:proofErr w:type="spellStart"/>
      <w:r w:rsidRPr="00F408A9">
        <w:rPr>
          <w:highlight w:val="yellow"/>
          <w:lang w:eastAsia="zh-CN"/>
        </w:rPr>
        <w:t>dBi</w:t>
      </w:r>
      <w:proofErr w:type="spellEnd"/>
      <w:r w:rsidRPr="00F408A9">
        <w:rPr>
          <w:highlight w:val="yellow"/>
          <w:lang w:eastAsia="zh-CN"/>
        </w:rPr>
        <w:t xml:space="preserve"> for angles between 3.5 degrees and 20 degrees</w:t>
      </w:r>
      <w:r w:rsidR="00682E1B">
        <w:rPr>
          <w:highlight w:val="yellow"/>
          <w:lang w:eastAsia="zh-CN"/>
        </w:rPr>
        <w:t>.</w:t>
      </w:r>
      <w:r w:rsidR="00682E1B" w:rsidRPr="00F14E35">
        <w:rPr>
          <w:i/>
          <w:iCs/>
          <w:highlight w:val="cyan"/>
        </w:rPr>
        <w:t>]</w:t>
      </w:r>
      <w:r w:rsidR="00286F45" w:rsidRPr="003720FB">
        <w:rPr>
          <w:highlight w:val="cyan"/>
          <w:lang w:eastAsia="zh-CN"/>
        </w:rPr>
        <w:t xml:space="preserve"> </w:t>
      </w:r>
    </w:p>
    <w:p w14:paraId="7FA72836" w14:textId="0B509100" w:rsidR="00984EA4" w:rsidRPr="00682E1B" w:rsidRDefault="00286F45" w:rsidP="00984EA4">
      <w:pPr>
        <w:pStyle w:val="enumlev1"/>
        <w:ind w:left="720" w:firstLine="0"/>
        <w:rPr>
          <w:noProof/>
          <w:highlight w:val="yellow"/>
        </w:rPr>
      </w:pPr>
      <w:r w:rsidRPr="003720FB">
        <w:rPr>
          <w:i/>
          <w:iCs/>
          <w:highlight w:val="cyan"/>
          <w:lang w:eastAsia="zh-CN"/>
        </w:rPr>
        <w:t>A</w:t>
      </w:r>
      <w:r>
        <w:rPr>
          <w:i/>
          <w:iCs/>
          <w:highlight w:val="cyan"/>
          <w:lang w:eastAsia="zh-CN"/>
        </w:rPr>
        <w:t>lternative</w:t>
      </w:r>
      <w:r w:rsidRPr="00372CBC">
        <w:rPr>
          <w:i/>
          <w:iCs/>
          <w:highlight w:val="cyan"/>
          <w:lang w:eastAsia="zh-CN"/>
        </w:rPr>
        <w:t xml:space="preserve"> 1</w:t>
      </w:r>
      <w:r>
        <w:rPr>
          <w:i/>
          <w:iCs/>
          <w:highlight w:val="cyan"/>
          <w:lang w:eastAsia="zh-CN"/>
        </w:rPr>
        <w:t>6</w:t>
      </w:r>
      <w:r w:rsidR="009A7D43">
        <w:rPr>
          <w:i/>
          <w:iCs/>
          <w:highlight w:val="cyan"/>
          <w:lang w:eastAsia="zh-CN"/>
        </w:rPr>
        <w:t>f</w:t>
      </w:r>
      <w:r w:rsidR="00682E1B">
        <w:rPr>
          <w:i/>
          <w:iCs/>
          <w:highlight w:val="cyan"/>
          <w:lang w:eastAsia="zh-CN"/>
        </w:rPr>
        <w:t>3</w:t>
      </w:r>
      <w:r w:rsidRPr="00372CBC">
        <w:rPr>
          <w:i/>
          <w:iCs/>
          <w:highlight w:val="cyan"/>
          <w:lang w:eastAsia="zh-CN"/>
        </w:rPr>
        <w:t>:</w:t>
      </w:r>
      <w:r>
        <w:rPr>
          <w:i/>
          <w:iCs/>
          <w:highlight w:val="cyan"/>
          <w:lang w:eastAsia="zh-CN"/>
        </w:rPr>
        <w:t xml:space="preserve"> </w:t>
      </w:r>
      <w:r w:rsidR="00984EA4" w:rsidRPr="00682E1B">
        <w:rPr>
          <w:noProof/>
          <w:highlight w:val="yellow"/>
        </w:rPr>
        <w:t xml:space="preserve">the following off-axis gain: </w:t>
      </w:r>
    </w:p>
    <w:p w14:paraId="4ABEA25E" w14:textId="77777777" w:rsidR="00984EA4" w:rsidRPr="00682E1B" w:rsidRDefault="00984EA4" w:rsidP="00984EA4">
      <w:pPr>
        <w:pStyle w:val="enumlev2"/>
        <w:rPr>
          <w:noProof/>
          <w:highlight w:val="yellow"/>
        </w:rPr>
      </w:pPr>
      <w:r w:rsidRPr="00682E1B">
        <w:rPr>
          <w:noProof/>
          <w:highlight w:val="yellow"/>
        </w:rPr>
        <w:t>–</w:t>
      </w:r>
      <w:r w:rsidRPr="00682E1B">
        <w:rPr>
          <w:noProof/>
          <w:highlight w:val="yellow"/>
        </w:rPr>
        <w:tab/>
        <w:t>29-25 log(</w:t>
      </w:r>
      <w:r w:rsidRPr="00682E1B">
        <w:rPr>
          <w:noProof/>
          <w:highlight w:val="yellow"/>
        </w:rPr>
        <w:sym w:font="Symbol" w:char="F06A"/>
      </w:r>
      <w:r w:rsidRPr="00682E1B">
        <w:rPr>
          <w:noProof/>
          <w:highlight w:val="yellow"/>
        </w:rPr>
        <w:t>) dBi for angles between 3.5 and 4.9 degrees;</w:t>
      </w:r>
    </w:p>
    <w:p w14:paraId="0E67C8A4" w14:textId="77777777" w:rsidR="00984EA4" w:rsidRPr="00682E1B" w:rsidRDefault="00984EA4" w:rsidP="00984EA4">
      <w:pPr>
        <w:pStyle w:val="enumlev2"/>
        <w:rPr>
          <w:noProof/>
          <w:highlight w:val="yellow"/>
        </w:rPr>
      </w:pPr>
      <w:r w:rsidRPr="00682E1B">
        <w:rPr>
          <w:noProof/>
          <w:highlight w:val="yellow"/>
        </w:rPr>
        <w:t>–</w:t>
      </w:r>
      <w:r w:rsidRPr="00682E1B">
        <w:rPr>
          <w:noProof/>
          <w:highlight w:val="yellow"/>
        </w:rPr>
        <w:tab/>
        <w:t>11.71 dBi for angles between 4.9 and 9.5 degrees;</w:t>
      </w:r>
    </w:p>
    <w:p w14:paraId="0F4466CC" w14:textId="33542B42" w:rsidR="00C3474C" w:rsidRPr="006545EA" w:rsidRDefault="00984EA4" w:rsidP="00682E1B">
      <w:pPr>
        <w:pStyle w:val="enumlev1"/>
        <w:ind w:firstLine="0"/>
        <w:rPr>
          <w:lang w:eastAsia="zh-CN"/>
        </w:rPr>
      </w:pPr>
      <w:r w:rsidRPr="00682E1B">
        <w:rPr>
          <w:noProof/>
          <w:highlight w:val="yellow"/>
        </w:rPr>
        <w:t>–</w:t>
      </w:r>
      <w:r w:rsidRPr="00682E1B">
        <w:rPr>
          <w:noProof/>
          <w:highlight w:val="yellow"/>
        </w:rPr>
        <w:tab/>
        <w:t>43-32log(</w:t>
      </w:r>
      <w:r w:rsidRPr="00682E1B">
        <w:rPr>
          <w:noProof/>
          <w:highlight w:val="yellow"/>
        </w:rPr>
        <w:sym w:font="Symbol" w:char="F06A"/>
      </w:r>
      <w:r w:rsidRPr="00682E1B">
        <w:rPr>
          <w:noProof/>
          <w:highlight w:val="yellow"/>
        </w:rPr>
        <w:t>) dBi for angles between 9.5 and 20 degrees</w:t>
      </w:r>
      <w:r w:rsidR="00682E1B" w:rsidRPr="00682E1B">
        <w:rPr>
          <w:noProof/>
          <w:highlight w:val="yellow"/>
        </w:rPr>
        <w:t>.</w:t>
      </w:r>
      <w:r w:rsidR="00F14E35" w:rsidRPr="00F14E35">
        <w:rPr>
          <w:i/>
          <w:iCs/>
          <w:highlight w:val="cyan"/>
        </w:rPr>
        <w:t>]</w:t>
      </w:r>
    </w:p>
    <w:p w14:paraId="4014F211" w14:textId="591C5923" w:rsidR="00AD5682" w:rsidRPr="00DC4793" w:rsidRDefault="00845B03" w:rsidP="00845B03">
      <w:pPr>
        <w:jc w:val="center"/>
      </w:pPr>
      <w:r w:rsidRPr="006545EA">
        <w:t>________________</w:t>
      </w:r>
    </w:p>
    <w:sectPr w:rsidR="00AD5682" w:rsidRPr="00DC4793" w:rsidSect="00C2585E">
      <w:headerReference w:type="default" r:id="rId14"/>
      <w:footerReference w:type="even" r:id="rId15"/>
      <w:pgSz w:w="11907" w:h="16834" w:code="9"/>
      <w:pgMar w:top="1418" w:right="992" w:bottom="1418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5E6BB" w14:textId="77777777" w:rsidR="00CE55CF" w:rsidRDefault="00CE55CF">
      <w:r>
        <w:separator/>
      </w:r>
    </w:p>
  </w:endnote>
  <w:endnote w:type="continuationSeparator" w:id="0">
    <w:p w14:paraId="186F58FD" w14:textId="77777777" w:rsidR="00CE55CF" w:rsidRDefault="00CE55CF">
      <w:r>
        <w:continuationSeparator/>
      </w:r>
    </w:p>
  </w:endnote>
  <w:endnote w:type="continuationNotice" w:id="1">
    <w:p w14:paraId="0D6CCEE7" w14:textId="77777777" w:rsidR="00CE55CF" w:rsidRDefault="00CE55C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C7434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CB2D3AB" w14:textId="4B8293D5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52539F">
      <w:rPr>
        <w:noProof/>
        <w:lang w:val="en-US"/>
      </w:rPr>
      <w:t>https://sesglobal-my.sharepoint.com/personal/samuel_blondeau_ses_com/Documents/Sam/SES/Regulation/WRC-23/WRC-23 Dubai/A.I. 1.17/Inputs/R23-WRC23-C-0044!A17!MSW-E.docx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01129">
      <w:rPr>
        <w:noProof/>
      </w:rPr>
      <w:t>22.11.23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2539F">
      <w:rPr>
        <w:noProof/>
      </w:rPr>
      <w:t>08.11.23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65BFC" w14:textId="77777777" w:rsidR="00CE55CF" w:rsidRDefault="00CE55CF">
      <w:r>
        <w:rPr>
          <w:b/>
        </w:rPr>
        <w:t>_______________</w:t>
      </w:r>
    </w:p>
  </w:footnote>
  <w:footnote w:type="continuationSeparator" w:id="0">
    <w:p w14:paraId="78D2502E" w14:textId="77777777" w:rsidR="00CE55CF" w:rsidRDefault="00CE55CF">
      <w:r>
        <w:continuationSeparator/>
      </w:r>
    </w:p>
  </w:footnote>
  <w:footnote w:type="continuationNotice" w:id="1">
    <w:p w14:paraId="340B8DDE" w14:textId="77777777" w:rsidR="00CE55CF" w:rsidRDefault="00CE55CF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F22B3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9B1EA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A4632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C8F2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D630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5A71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E2AB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942A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458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3836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A86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200F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1FB22408"/>
    <w:multiLevelType w:val="hybridMultilevel"/>
    <w:tmpl w:val="CBEE1E2A"/>
    <w:lvl w:ilvl="0" w:tplc="EF147586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676584">
    <w:abstractNumId w:val="8"/>
  </w:num>
  <w:num w:numId="2" w16cid:durableId="108352679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974629246">
    <w:abstractNumId w:val="9"/>
  </w:num>
  <w:num w:numId="4" w16cid:durableId="1872953929">
    <w:abstractNumId w:val="7"/>
  </w:num>
  <w:num w:numId="5" w16cid:durableId="1388644706">
    <w:abstractNumId w:val="6"/>
  </w:num>
  <w:num w:numId="6" w16cid:durableId="481703292">
    <w:abstractNumId w:val="5"/>
  </w:num>
  <w:num w:numId="7" w16cid:durableId="21325714">
    <w:abstractNumId w:val="4"/>
  </w:num>
  <w:num w:numId="8" w16cid:durableId="397476826">
    <w:abstractNumId w:val="3"/>
  </w:num>
  <w:num w:numId="9" w16cid:durableId="1957834669">
    <w:abstractNumId w:val="2"/>
  </w:num>
  <w:num w:numId="10" w16cid:durableId="873032481">
    <w:abstractNumId w:val="1"/>
  </w:num>
  <w:num w:numId="11" w16cid:durableId="300117450">
    <w:abstractNumId w:val="0"/>
  </w:num>
  <w:num w:numId="12" w16cid:durableId="10230309">
    <w:abstractNumId w:val="9"/>
  </w:num>
  <w:num w:numId="13" w16cid:durableId="1934439348">
    <w:abstractNumId w:val="7"/>
  </w:num>
  <w:num w:numId="14" w16cid:durableId="447049485">
    <w:abstractNumId w:val="6"/>
  </w:num>
  <w:num w:numId="15" w16cid:durableId="1625037467">
    <w:abstractNumId w:val="5"/>
  </w:num>
  <w:num w:numId="16" w16cid:durableId="1107962070">
    <w:abstractNumId w:val="4"/>
  </w:num>
  <w:num w:numId="17" w16cid:durableId="2033845475">
    <w:abstractNumId w:val="8"/>
  </w:num>
  <w:num w:numId="18" w16cid:durableId="132063801">
    <w:abstractNumId w:val="3"/>
  </w:num>
  <w:num w:numId="19" w16cid:durableId="485896518">
    <w:abstractNumId w:val="2"/>
  </w:num>
  <w:num w:numId="20" w16cid:durableId="416949662">
    <w:abstractNumId w:val="1"/>
  </w:num>
  <w:num w:numId="21" w16cid:durableId="1824196495">
    <w:abstractNumId w:val="0"/>
  </w:num>
  <w:num w:numId="22" w16cid:durableId="809714436">
    <w:abstractNumId w:val="9"/>
  </w:num>
  <w:num w:numId="23" w16cid:durableId="868378597">
    <w:abstractNumId w:val="7"/>
  </w:num>
  <w:num w:numId="24" w16cid:durableId="286662275">
    <w:abstractNumId w:val="6"/>
  </w:num>
  <w:num w:numId="25" w16cid:durableId="411663502">
    <w:abstractNumId w:val="5"/>
  </w:num>
  <w:num w:numId="26" w16cid:durableId="1628076740">
    <w:abstractNumId w:val="4"/>
  </w:num>
  <w:num w:numId="27" w16cid:durableId="1215116625">
    <w:abstractNumId w:val="8"/>
  </w:num>
  <w:num w:numId="28" w16cid:durableId="1159269115">
    <w:abstractNumId w:val="3"/>
  </w:num>
  <w:num w:numId="29" w16cid:durableId="90006715">
    <w:abstractNumId w:val="2"/>
  </w:num>
  <w:num w:numId="30" w16cid:durableId="196505757">
    <w:abstractNumId w:val="1"/>
  </w:num>
  <w:num w:numId="31" w16cid:durableId="956912573">
    <w:abstractNumId w:val="0"/>
  </w:num>
  <w:num w:numId="32" w16cid:durableId="6194110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2C0D"/>
    <w:rsid w:val="00003BAD"/>
    <w:rsid w:val="000041EA"/>
    <w:rsid w:val="00004881"/>
    <w:rsid w:val="0000514B"/>
    <w:rsid w:val="000119E0"/>
    <w:rsid w:val="00013FEF"/>
    <w:rsid w:val="000151C9"/>
    <w:rsid w:val="00020968"/>
    <w:rsid w:val="000211C3"/>
    <w:rsid w:val="00021A52"/>
    <w:rsid w:val="00022A29"/>
    <w:rsid w:val="00024131"/>
    <w:rsid w:val="0002631B"/>
    <w:rsid w:val="00027B79"/>
    <w:rsid w:val="00030DCF"/>
    <w:rsid w:val="00032D66"/>
    <w:rsid w:val="00034B1D"/>
    <w:rsid w:val="000355E1"/>
    <w:rsid w:val="000355FD"/>
    <w:rsid w:val="00041873"/>
    <w:rsid w:val="000430F5"/>
    <w:rsid w:val="00044265"/>
    <w:rsid w:val="00044DC4"/>
    <w:rsid w:val="00045587"/>
    <w:rsid w:val="00045C3B"/>
    <w:rsid w:val="00051E39"/>
    <w:rsid w:val="0005463A"/>
    <w:rsid w:val="00054AB0"/>
    <w:rsid w:val="00056208"/>
    <w:rsid w:val="00062F8C"/>
    <w:rsid w:val="000649DF"/>
    <w:rsid w:val="00065BDD"/>
    <w:rsid w:val="00066C6C"/>
    <w:rsid w:val="00066F1E"/>
    <w:rsid w:val="00070143"/>
    <w:rsid w:val="000705F2"/>
    <w:rsid w:val="00070E09"/>
    <w:rsid w:val="0007572B"/>
    <w:rsid w:val="00076ED9"/>
    <w:rsid w:val="00077239"/>
    <w:rsid w:val="0007795D"/>
    <w:rsid w:val="0008024F"/>
    <w:rsid w:val="0008042D"/>
    <w:rsid w:val="00086491"/>
    <w:rsid w:val="00087A41"/>
    <w:rsid w:val="000903BD"/>
    <w:rsid w:val="000912A4"/>
    <w:rsid w:val="00091346"/>
    <w:rsid w:val="00092273"/>
    <w:rsid w:val="00092EF0"/>
    <w:rsid w:val="00095674"/>
    <w:rsid w:val="0009706C"/>
    <w:rsid w:val="00097220"/>
    <w:rsid w:val="00097FA6"/>
    <w:rsid w:val="000A16CD"/>
    <w:rsid w:val="000A253B"/>
    <w:rsid w:val="000A5B43"/>
    <w:rsid w:val="000A758A"/>
    <w:rsid w:val="000B7CE4"/>
    <w:rsid w:val="000C0A78"/>
    <w:rsid w:val="000C10B5"/>
    <w:rsid w:val="000C2AD1"/>
    <w:rsid w:val="000C76BA"/>
    <w:rsid w:val="000C7921"/>
    <w:rsid w:val="000D154B"/>
    <w:rsid w:val="000D2B75"/>
    <w:rsid w:val="000D2DAF"/>
    <w:rsid w:val="000D6FF5"/>
    <w:rsid w:val="000D74EC"/>
    <w:rsid w:val="000E0236"/>
    <w:rsid w:val="000E2B5F"/>
    <w:rsid w:val="000E3177"/>
    <w:rsid w:val="000E463E"/>
    <w:rsid w:val="000E6D60"/>
    <w:rsid w:val="000E6E1D"/>
    <w:rsid w:val="000F0A82"/>
    <w:rsid w:val="000F0D01"/>
    <w:rsid w:val="000F16F6"/>
    <w:rsid w:val="000F41F8"/>
    <w:rsid w:val="000F5991"/>
    <w:rsid w:val="000F73FF"/>
    <w:rsid w:val="00100804"/>
    <w:rsid w:val="00100F81"/>
    <w:rsid w:val="00102437"/>
    <w:rsid w:val="001032D4"/>
    <w:rsid w:val="00104F15"/>
    <w:rsid w:val="00106E60"/>
    <w:rsid w:val="00110966"/>
    <w:rsid w:val="001143DE"/>
    <w:rsid w:val="00114CF7"/>
    <w:rsid w:val="00115ADF"/>
    <w:rsid w:val="00116C7A"/>
    <w:rsid w:val="00117265"/>
    <w:rsid w:val="0012077B"/>
    <w:rsid w:val="00123B68"/>
    <w:rsid w:val="001254D1"/>
    <w:rsid w:val="00126F2E"/>
    <w:rsid w:val="001312D1"/>
    <w:rsid w:val="00133BC0"/>
    <w:rsid w:val="00135CE3"/>
    <w:rsid w:val="0014230B"/>
    <w:rsid w:val="0014245A"/>
    <w:rsid w:val="001432DA"/>
    <w:rsid w:val="00143624"/>
    <w:rsid w:val="001454FE"/>
    <w:rsid w:val="00146F6F"/>
    <w:rsid w:val="00150E14"/>
    <w:rsid w:val="00151014"/>
    <w:rsid w:val="00152046"/>
    <w:rsid w:val="001521A6"/>
    <w:rsid w:val="001524C3"/>
    <w:rsid w:val="0015518E"/>
    <w:rsid w:val="00157E5A"/>
    <w:rsid w:val="00161B3E"/>
    <w:rsid w:val="00161F26"/>
    <w:rsid w:val="001631BB"/>
    <w:rsid w:val="00163F27"/>
    <w:rsid w:val="0016428F"/>
    <w:rsid w:val="001642B1"/>
    <w:rsid w:val="0016484D"/>
    <w:rsid w:val="00166F17"/>
    <w:rsid w:val="001673F2"/>
    <w:rsid w:val="001673FB"/>
    <w:rsid w:val="00167B38"/>
    <w:rsid w:val="001742BA"/>
    <w:rsid w:val="0018090E"/>
    <w:rsid w:val="001843C8"/>
    <w:rsid w:val="001862AF"/>
    <w:rsid w:val="001863E5"/>
    <w:rsid w:val="00186C41"/>
    <w:rsid w:val="00187BD9"/>
    <w:rsid w:val="00190B55"/>
    <w:rsid w:val="00191778"/>
    <w:rsid w:val="00193DDE"/>
    <w:rsid w:val="001A5290"/>
    <w:rsid w:val="001A54EF"/>
    <w:rsid w:val="001A67DC"/>
    <w:rsid w:val="001B5D4F"/>
    <w:rsid w:val="001C0A68"/>
    <w:rsid w:val="001C1687"/>
    <w:rsid w:val="001C3B5F"/>
    <w:rsid w:val="001C411F"/>
    <w:rsid w:val="001C4DDD"/>
    <w:rsid w:val="001C76F7"/>
    <w:rsid w:val="001C77CD"/>
    <w:rsid w:val="001D058F"/>
    <w:rsid w:val="001D517E"/>
    <w:rsid w:val="001D65F8"/>
    <w:rsid w:val="001E0A29"/>
    <w:rsid w:val="001E13CC"/>
    <w:rsid w:val="001E3897"/>
    <w:rsid w:val="001E3924"/>
    <w:rsid w:val="001E67F4"/>
    <w:rsid w:val="001E734F"/>
    <w:rsid w:val="001F59AD"/>
    <w:rsid w:val="001F6486"/>
    <w:rsid w:val="001F75BD"/>
    <w:rsid w:val="002009EA"/>
    <w:rsid w:val="00202508"/>
    <w:rsid w:val="00202756"/>
    <w:rsid w:val="00202CA0"/>
    <w:rsid w:val="00206870"/>
    <w:rsid w:val="00206C8E"/>
    <w:rsid w:val="00211272"/>
    <w:rsid w:val="00211646"/>
    <w:rsid w:val="0021205C"/>
    <w:rsid w:val="00216B6D"/>
    <w:rsid w:val="002178DE"/>
    <w:rsid w:val="002221EE"/>
    <w:rsid w:val="002222FA"/>
    <w:rsid w:val="00222438"/>
    <w:rsid w:val="00223316"/>
    <w:rsid w:val="002261B2"/>
    <w:rsid w:val="0022757F"/>
    <w:rsid w:val="002302F4"/>
    <w:rsid w:val="00237823"/>
    <w:rsid w:val="00241FA2"/>
    <w:rsid w:val="00246A13"/>
    <w:rsid w:val="00251204"/>
    <w:rsid w:val="00251297"/>
    <w:rsid w:val="00251738"/>
    <w:rsid w:val="00251AC3"/>
    <w:rsid w:val="00252D64"/>
    <w:rsid w:val="00252FCC"/>
    <w:rsid w:val="00253489"/>
    <w:rsid w:val="0025379C"/>
    <w:rsid w:val="002569A7"/>
    <w:rsid w:val="00257FB9"/>
    <w:rsid w:val="00261D7D"/>
    <w:rsid w:val="002626BC"/>
    <w:rsid w:val="00263F5B"/>
    <w:rsid w:val="0026480E"/>
    <w:rsid w:val="00265D3B"/>
    <w:rsid w:val="00266D57"/>
    <w:rsid w:val="0027008F"/>
    <w:rsid w:val="00271316"/>
    <w:rsid w:val="00271F41"/>
    <w:rsid w:val="002752EB"/>
    <w:rsid w:val="00275A92"/>
    <w:rsid w:val="00276CE7"/>
    <w:rsid w:val="0028479B"/>
    <w:rsid w:val="0028668B"/>
    <w:rsid w:val="00286932"/>
    <w:rsid w:val="00286965"/>
    <w:rsid w:val="00286F45"/>
    <w:rsid w:val="002878C3"/>
    <w:rsid w:val="00290B21"/>
    <w:rsid w:val="00291E8E"/>
    <w:rsid w:val="00292A17"/>
    <w:rsid w:val="002A3E6D"/>
    <w:rsid w:val="002A5C1F"/>
    <w:rsid w:val="002A7654"/>
    <w:rsid w:val="002A7B9E"/>
    <w:rsid w:val="002B10FF"/>
    <w:rsid w:val="002B349C"/>
    <w:rsid w:val="002B38F0"/>
    <w:rsid w:val="002B5402"/>
    <w:rsid w:val="002B5A1A"/>
    <w:rsid w:val="002B7132"/>
    <w:rsid w:val="002C6880"/>
    <w:rsid w:val="002C7BEE"/>
    <w:rsid w:val="002D48DF"/>
    <w:rsid w:val="002D58BE"/>
    <w:rsid w:val="002E1DD2"/>
    <w:rsid w:val="002E392E"/>
    <w:rsid w:val="002E5B21"/>
    <w:rsid w:val="002E6498"/>
    <w:rsid w:val="002E654A"/>
    <w:rsid w:val="002E7C64"/>
    <w:rsid w:val="002F0202"/>
    <w:rsid w:val="002F13F5"/>
    <w:rsid w:val="002F24C3"/>
    <w:rsid w:val="002F256B"/>
    <w:rsid w:val="002F357F"/>
    <w:rsid w:val="002F4747"/>
    <w:rsid w:val="002F5E33"/>
    <w:rsid w:val="00302605"/>
    <w:rsid w:val="00304EC5"/>
    <w:rsid w:val="0030524E"/>
    <w:rsid w:val="00305378"/>
    <w:rsid w:val="003061A5"/>
    <w:rsid w:val="00306487"/>
    <w:rsid w:val="00311400"/>
    <w:rsid w:val="00314C03"/>
    <w:rsid w:val="00315307"/>
    <w:rsid w:val="00320591"/>
    <w:rsid w:val="003218FC"/>
    <w:rsid w:val="00321A53"/>
    <w:rsid w:val="00321EDE"/>
    <w:rsid w:val="00324CC7"/>
    <w:rsid w:val="00325ED9"/>
    <w:rsid w:val="00327798"/>
    <w:rsid w:val="0033072F"/>
    <w:rsid w:val="00331258"/>
    <w:rsid w:val="00337CC0"/>
    <w:rsid w:val="0034051E"/>
    <w:rsid w:val="00342915"/>
    <w:rsid w:val="00357435"/>
    <w:rsid w:val="00361B37"/>
    <w:rsid w:val="003637C1"/>
    <w:rsid w:val="00364ED3"/>
    <w:rsid w:val="00366208"/>
    <w:rsid w:val="003704E7"/>
    <w:rsid w:val="003720FB"/>
    <w:rsid w:val="00372CBC"/>
    <w:rsid w:val="00372FF0"/>
    <w:rsid w:val="00375102"/>
    <w:rsid w:val="00377BD3"/>
    <w:rsid w:val="00384088"/>
    <w:rsid w:val="003852CE"/>
    <w:rsid w:val="00385ED5"/>
    <w:rsid w:val="00390334"/>
    <w:rsid w:val="0039169B"/>
    <w:rsid w:val="00391C23"/>
    <w:rsid w:val="003952CE"/>
    <w:rsid w:val="00395D0C"/>
    <w:rsid w:val="00396100"/>
    <w:rsid w:val="003A515A"/>
    <w:rsid w:val="003A5780"/>
    <w:rsid w:val="003A6991"/>
    <w:rsid w:val="003A7CCE"/>
    <w:rsid w:val="003A7F8C"/>
    <w:rsid w:val="003B2284"/>
    <w:rsid w:val="003B532E"/>
    <w:rsid w:val="003B7E68"/>
    <w:rsid w:val="003C05C3"/>
    <w:rsid w:val="003C0D77"/>
    <w:rsid w:val="003C282D"/>
    <w:rsid w:val="003C28C5"/>
    <w:rsid w:val="003C6627"/>
    <w:rsid w:val="003C777F"/>
    <w:rsid w:val="003C7F52"/>
    <w:rsid w:val="003D0577"/>
    <w:rsid w:val="003D0F8B"/>
    <w:rsid w:val="003D11D9"/>
    <w:rsid w:val="003D755D"/>
    <w:rsid w:val="003E0B75"/>
    <w:rsid w:val="003E0DB6"/>
    <w:rsid w:val="003E3CD0"/>
    <w:rsid w:val="003E4563"/>
    <w:rsid w:val="003E4762"/>
    <w:rsid w:val="003F27A8"/>
    <w:rsid w:val="003F4B16"/>
    <w:rsid w:val="00401129"/>
    <w:rsid w:val="00401D9A"/>
    <w:rsid w:val="004116C8"/>
    <w:rsid w:val="004130DE"/>
    <w:rsid w:val="0041348E"/>
    <w:rsid w:val="0041658E"/>
    <w:rsid w:val="00420873"/>
    <w:rsid w:val="00422542"/>
    <w:rsid w:val="00426D91"/>
    <w:rsid w:val="00427F50"/>
    <w:rsid w:val="004322B9"/>
    <w:rsid w:val="00434F2B"/>
    <w:rsid w:val="004350CB"/>
    <w:rsid w:val="00440660"/>
    <w:rsid w:val="0044090E"/>
    <w:rsid w:val="00441400"/>
    <w:rsid w:val="004419D5"/>
    <w:rsid w:val="00442F5E"/>
    <w:rsid w:val="00443BBC"/>
    <w:rsid w:val="00450053"/>
    <w:rsid w:val="0045017B"/>
    <w:rsid w:val="0045231F"/>
    <w:rsid w:val="004545B6"/>
    <w:rsid w:val="004636DF"/>
    <w:rsid w:val="004641B7"/>
    <w:rsid w:val="00470212"/>
    <w:rsid w:val="00480239"/>
    <w:rsid w:val="00481921"/>
    <w:rsid w:val="00482334"/>
    <w:rsid w:val="00484432"/>
    <w:rsid w:val="00485D79"/>
    <w:rsid w:val="00485DB1"/>
    <w:rsid w:val="00487720"/>
    <w:rsid w:val="004913C2"/>
    <w:rsid w:val="00492075"/>
    <w:rsid w:val="00492762"/>
    <w:rsid w:val="004969AD"/>
    <w:rsid w:val="004A26C4"/>
    <w:rsid w:val="004A4E8F"/>
    <w:rsid w:val="004A7C55"/>
    <w:rsid w:val="004B13CB"/>
    <w:rsid w:val="004B4611"/>
    <w:rsid w:val="004B5038"/>
    <w:rsid w:val="004B5D05"/>
    <w:rsid w:val="004C358A"/>
    <w:rsid w:val="004C53AF"/>
    <w:rsid w:val="004C5FBE"/>
    <w:rsid w:val="004D03B8"/>
    <w:rsid w:val="004D0408"/>
    <w:rsid w:val="004D12E2"/>
    <w:rsid w:val="004D1753"/>
    <w:rsid w:val="004D26EA"/>
    <w:rsid w:val="004D2BFB"/>
    <w:rsid w:val="004D57B7"/>
    <w:rsid w:val="004D5D5C"/>
    <w:rsid w:val="004E03E9"/>
    <w:rsid w:val="004E121F"/>
    <w:rsid w:val="004E1936"/>
    <w:rsid w:val="004E43FC"/>
    <w:rsid w:val="004F05EC"/>
    <w:rsid w:val="004F0669"/>
    <w:rsid w:val="004F278E"/>
    <w:rsid w:val="004F3DC0"/>
    <w:rsid w:val="0050139F"/>
    <w:rsid w:val="005041CB"/>
    <w:rsid w:val="005042E0"/>
    <w:rsid w:val="00506CCB"/>
    <w:rsid w:val="005109B6"/>
    <w:rsid w:val="00511627"/>
    <w:rsid w:val="00511D3E"/>
    <w:rsid w:val="00512771"/>
    <w:rsid w:val="0051490D"/>
    <w:rsid w:val="00514AF2"/>
    <w:rsid w:val="00515AC9"/>
    <w:rsid w:val="005166E4"/>
    <w:rsid w:val="00517B7C"/>
    <w:rsid w:val="00520B3F"/>
    <w:rsid w:val="00521772"/>
    <w:rsid w:val="00524CD6"/>
    <w:rsid w:val="0052539F"/>
    <w:rsid w:val="00526502"/>
    <w:rsid w:val="00527032"/>
    <w:rsid w:val="00530104"/>
    <w:rsid w:val="005304D9"/>
    <w:rsid w:val="00534DEC"/>
    <w:rsid w:val="00540C8D"/>
    <w:rsid w:val="00542131"/>
    <w:rsid w:val="005430F8"/>
    <w:rsid w:val="00545EAB"/>
    <w:rsid w:val="00547093"/>
    <w:rsid w:val="0055140B"/>
    <w:rsid w:val="00552DF8"/>
    <w:rsid w:val="00555F3E"/>
    <w:rsid w:val="00557B10"/>
    <w:rsid w:val="00564DBE"/>
    <w:rsid w:val="00575E32"/>
    <w:rsid w:val="00576ADF"/>
    <w:rsid w:val="0058201D"/>
    <w:rsid w:val="00582256"/>
    <w:rsid w:val="005861D7"/>
    <w:rsid w:val="0058765A"/>
    <w:rsid w:val="0059044C"/>
    <w:rsid w:val="0059270F"/>
    <w:rsid w:val="00592F6F"/>
    <w:rsid w:val="005943F2"/>
    <w:rsid w:val="005964AB"/>
    <w:rsid w:val="005A0A56"/>
    <w:rsid w:val="005B3DCF"/>
    <w:rsid w:val="005C099A"/>
    <w:rsid w:val="005C31A5"/>
    <w:rsid w:val="005C3E25"/>
    <w:rsid w:val="005C4BE2"/>
    <w:rsid w:val="005C5DA7"/>
    <w:rsid w:val="005C730A"/>
    <w:rsid w:val="005D00F2"/>
    <w:rsid w:val="005D3148"/>
    <w:rsid w:val="005D35DC"/>
    <w:rsid w:val="005D52EC"/>
    <w:rsid w:val="005E10C9"/>
    <w:rsid w:val="005E290B"/>
    <w:rsid w:val="005E2F33"/>
    <w:rsid w:val="005E467E"/>
    <w:rsid w:val="005E61DD"/>
    <w:rsid w:val="005E65BC"/>
    <w:rsid w:val="005E7D7A"/>
    <w:rsid w:val="005F04D8"/>
    <w:rsid w:val="005F053C"/>
    <w:rsid w:val="005F4778"/>
    <w:rsid w:val="005F66D9"/>
    <w:rsid w:val="00600119"/>
    <w:rsid w:val="006010D0"/>
    <w:rsid w:val="006023DF"/>
    <w:rsid w:val="00605E50"/>
    <w:rsid w:val="00610D5A"/>
    <w:rsid w:val="00611007"/>
    <w:rsid w:val="00615426"/>
    <w:rsid w:val="00616219"/>
    <w:rsid w:val="00624E25"/>
    <w:rsid w:val="00625D63"/>
    <w:rsid w:val="00630179"/>
    <w:rsid w:val="00630501"/>
    <w:rsid w:val="0063678A"/>
    <w:rsid w:val="00637B2B"/>
    <w:rsid w:val="00645B7D"/>
    <w:rsid w:val="00646C00"/>
    <w:rsid w:val="00647958"/>
    <w:rsid w:val="00647FD9"/>
    <w:rsid w:val="00652306"/>
    <w:rsid w:val="00653474"/>
    <w:rsid w:val="006545EA"/>
    <w:rsid w:val="00654646"/>
    <w:rsid w:val="00654934"/>
    <w:rsid w:val="00657B57"/>
    <w:rsid w:val="00657DE0"/>
    <w:rsid w:val="00660163"/>
    <w:rsid w:val="00660CC7"/>
    <w:rsid w:val="00662EE9"/>
    <w:rsid w:val="0066326B"/>
    <w:rsid w:val="00663E52"/>
    <w:rsid w:val="006642E4"/>
    <w:rsid w:val="00665205"/>
    <w:rsid w:val="00665390"/>
    <w:rsid w:val="00671655"/>
    <w:rsid w:val="006741D8"/>
    <w:rsid w:val="00674B4F"/>
    <w:rsid w:val="00677267"/>
    <w:rsid w:val="0067729A"/>
    <w:rsid w:val="00681983"/>
    <w:rsid w:val="00682E1B"/>
    <w:rsid w:val="00685313"/>
    <w:rsid w:val="00686532"/>
    <w:rsid w:val="00687961"/>
    <w:rsid w:val="006905D7"/>
    <w:rsid w:val="00692525"/>
    <w:rsid w:val="00692833"/>
    <w:rsid w:val="006941CF"/>
    <w:rsid w:val="00695213"/>
    <w:rsid w:val="00695CE8"/>
    <w:rsid w:val="006A2DCF"/>
    <w:rsid w:val="006A3D15"/>
    <w:rsid w:val="006A5454"/>
    <w:rsid w:val="006A61BA"/>
    <w:rsid w:val="006A6E9B"/>
    <w:rsid w:val="006A7288"/>
    <w:rsid w:val="006B11F9"/>
    <w:rsid w:val="006B4892"/>
    <w:rsid w:val="006B5BF2"/>
    <w:rsid w:val="006B795A"/>
    <w:rsid w:val="006B7C2A"/>
    <w:rsid w:val="006C03EC"/>
    <w:rsid w:val="006C11AD"/>
    <w:rsid w:val="006C23DA"/>
    <w:rsid w:val="006C5183"/>
    <w:rsid w:val="006C5D14"/>
    <w:rsid w:val="006D11D4"/>
    <w:rsid w:val="006D2EE0"/>
    <w:rsid w:val="006D57EB"/>
    <w:rsid w:val="006D70B0"/>
    <w:rsid w:val="006E10DE"/>
    <w:rsid w:val="006E12AC"/>
    <w:rsid w:val="006E1D86"/>
    <w:rsid w:val="006E2D2F"/>
    <w:rsid w:val="006E3D45"/>
    <w:rsid w:val="006E5214"/>
    <w:rsid w:val="006E720C"/>
    <w:rsid w:val="006F3A72"/>
    <w:rsid w:val="006F45CA"/>
    <w:rsid w:val="006F5931"/>
    <w:rsid w:val="006F5B11"/>
    <w:rsid w:val="006F73C2"/>
    <w:rsid w:val="00703051"/>
    <w:rsid w:val="00705073"/>
    <w:rsid w:val="00705BE9"/>
    <w:rsid w:val="0070607A"/>
    <w:rsid w:val="00712CA5"/>
    <w:rsid w:val="007149F9"/>
    <w:rsid w:val="00715315"/>
    <w:rsid w:val="00720AEB"/>
    <w:rsid w:val="00722EEE"/>
    <w:rsid w:val="0072469A"/>
    <w:rsid w:val="0073054C"/>
    <w:rsid w:val="00731E1C"/>
    <w:rsid w:val="0073245E"/>
    <w:rsid w:val="00732B34"/>
    <w:rsid w:val="00733A30"/>
    <w:rsid w:val="00734D05"/>
    <w:rsid w:val="00743A3A"/>
    <w:rsid w:val="00745AEE"/>
    <w:rsid w:val="007469A6"/>
    <w:rsid w:val="00747AFE"/>
    <w:rsid w:val="00750F10"/>
    <w:rsid w:val="00756778"/>
    <w:rsid w:val="007725BB"/>
    <w:rsid w:val="007742CA"/>
    <w:rsid w:val="0077475B"/>
    <w:rsid w:val="00781D6D"/>
    <w:rsid w:val="00783053"/>
    <w:rsid w:val="007839ED"/>
    <w:rsid w:val="00783DD3"/>
    <w:rsid w:val="00790D70"/>
    <w:rsid w:val="0079798E"/>
    <w:rsid w:val="00797C64"/>
    <w:rsid w:val="007A2DB9"/>
    <w:rsid w:val="007A5D7C"/>
    <w:rsid w:val="007A6F1F"/>
    <w:rsid w:val="007A7BCD"/>
    <w:rsid w:val="007B6538"/>
    <w:rsid w:val="007B7BBE"/>
    <w:rsid w:val="007C01FC"/>
    <w:rsid w:val="007C0AC1"/>
    <w:rsid w:val="007C2FDB"/>
    <w:rsid w:val="007C69FD"/>
    <w:rsid w:val="007D2F69"/>
    <w:rsid w:val="007D49B0"/>
    <w:rsid w:val="007D4EA2"/>
    <w:rsid w:val="007D5060"/>
    <w:rsid w:val="007D5320"/>
    <w:rsid w:val="007E392C"/>
    <w:rsid w:val="007E3B9B"/>
    <w:rsid w:val="007F26E1"/>
    <w:rsid w:val="007F3139"/>
    <w:rsid w:val="007F326F"/>
    <w:rsid w:val="007F54A5"/>
    <w:rsid w:val="007F6768"/>
    <w:rsid w:val="007F7294"/>
    <w:rsid w:val="00800972"/>
    <w:rsid w:val="00800C32"/>
    <w:rsid w:val="00802212"/>
    <w:rsid w:val="008043E6"/>
    <w:rsid w:val="00804475"/>
    <w:rsid w:val="00806614"/>
    <w:rsid w:val="00807575"/>
    <w:rsid w:val="00807AF1"/>
    <w:rsid w:val="0081110D"/>
    <w:rsid w:val="00811633"/>
    <w:rsid w:val="00812309"/>
    <w:rsid w:val="00814037"/>
    <w:rsid w:val="0081683E"/>
    <w:rsid w:val="00816D6B"/>
    <w:rsid w:val="00821A1C"/>
    <w:rsid w:val="00823669"/>
    <w:rsid w:val="00823999"/>
    <w:rsid w:val="00824CAF"/>
    <w:rsid w:val="00826914"/>
    <w:rsid w:val="00830BEE"/>
    <w:rsid w:val="008312D5"/>
    <w:rsid w:val="00831E1F"/>
    <w:rsid w:val="0083507F"/>
    <w:rsid w:val="00837488"/>
    <w:rsid w:val="00841216"/>
    <w:rsid w:val="00842AF0"/>
    <w:rsid w:val="00843E85"/>
    <w:rsid w:val="00844B39"/>
    <w:rsid w:val="00845A81"/>
    <w:rsid w:val="00845B03"/>
    <w:rsid w:val="00846D9D"/>
    <w:rsid w:val="00846FC6"/>
    <w:rsid w:val="008504DF"/>
    <w:rsid w:val="00853A81"/>
    <w:rsid w:val="008545E7"/>
    <w:rsid w:val="00855333"/>
    <w:rsid w:val="008561E3"/>
    <w:rsid w:val="0086171E"/>
    <w:rsid w:val="00861749"/>
    <w:rsid w:val="00861C48"/>
    <w:rsid w:val="00862E7B"/>
    <w:rsid w:val="00863364"/>
    <w:rsid w:val="00864648"/>
    <w:rsid w:val="00866224"/>
    <w:rsid w:val="00872C80"/>
    <w:rsid w:val="00872FC8"/>
    <w:rsid w:val="00875750"/>
    <w:rsid w:val="00875C59"/>
    <w:rsid w:val="0087679D"/>
    <w:rsid w:val="00880E6D"/>
    <w:rsid w:val="00884018"/>
    <w:rsid w:val="008845D0"/>
    <w:rsid w:val="00884CB2"/>
    <w:rsid w:val="00884D60"/>
    <w:rsid w:val="0088511D"/>
    <w:rsid w:val="00885B20"/>
    <w:rsid w:val="008900B6"/>
    <w:rsid w:val="00891DBC"/>
    <w:rsid w:val="00892370"/>
    <w:rsid w:val="00892A2D"/>
    <w:rsid w:val="00895815"/>
    <w:rsid w:val="00896E56"/>
    <w:rsid w:val="008A376C"/>
    <w:rsid w:val="008A775A"/>
    <w:rsid w:val="008A7B7A"/>
    <w:rsid w:val="008B18FC"/>
    <w:rsid w:val="008B43F2"/>
    <w:rsid w:val="008B49B5"/>
    <w:rsid w:val="008B571F"/>
    <w:rsid w:val="008B6035"/>
    <w:rsid w:val="008B6CFF"/>
    <w:rsid w:val="008B6E79"/>
    <w:rsid w:val="008B7C4D"/>
    <w:rsid w:val="008B7CF6"/>
    <w:rsid w:val="008C1DFB"/>
    <w:rsid w:val="008C3A96"/>
    <w:rsid w:val="008D0925"/>
    <w:rsid w:val="008D18E4"/>
    <w:rsid w:val="008D2DBF"/>
    <w:rsid w:val="008D3450"/>
    <w:rsid w:val="008D5785"/>
    <w:rsid w:val="008D6B01"/>
    <w:rsid w:val="008E00FA"/>
    <w:rsid w:val="008E148C"/>
    <w:rsid w:val="008E560B"/>
    <w:rsid w:val="008E7F78"/>
    <w:rsid w:val="008F0354"/>
    <w:rsid w:val="008F19D9"/>
    <w:rsid w:val="008F31CB"/>
    <w:rsid w:val="008F5CA6"/>
    <w:rsid w:val="008F605B"/>
    <w:rsid w:val="008F7AD8"/>
    <w:rsid w:val="0090178A"/>
    <w:rsid w:val="009033CF"/>
    <w:rsid w:val="009058AE"/>
    <w:rsid w:val="00906AD7"/>
    <w:rsid w:val="00907B68"/>
    <w:rsid w:val="00911E85"/>
    <w:rsid w:val="00913F60"/>
    <w:rsid w:val="00914BD6"/>
    <w:rsid w:val="0092470E"/>
    <w:rsid w:val="009274B4"/>
    <w:rsid w:val="00930F0B"/>
    <w:rsid w:val="00931532"/>
    <w:rsid w:val="00931EDD"/>
    <w:rsid w:val="00931F77"/>
    <w:rsid w:val="00932DA3"/>
    <w:rsid w:val="00932DCC"/>
    <w:rsid w:val="00934615"/>
    <w:rsid w:val="00934EA2"/>
    <w:rsid w:val="00936080"/>
    <w:rsid w:val="0093759C"/>
    <w:rsid w:val="0093785F"/>
    <w:rsid w:val="00941C2E"/>
    <w:rsid w:val="00944A5C"/>
    <w:rsid w:val="00947ED5"/>
    <w:rsid w:val="009521E2"/>
    <w:rsid w:val="00952A66"/>
    <w:rsid w:val="00952DD4"/>
    <w:rsid w:val="009613E3"/>
    <w:rsid w:val="00962C75"/>
    <w:rsid w:val="00962C94"/>
    <w:rsid w:val="009649F2"/>
    <w:rsid w:val="00965A60"/>
    <w:rsid w:val="0096637F"/>
    <w:rsid w:val="009671B3"/>
    <w:rsid w:val="00970143"/>
    <w:rsid w:val="0097357A"/>
    <w:rsid w:val="0097495E"/>
    <w:rsid w:val="00976CBE"/>
    <w:rsid w:val="00976EA3"/>
    <w:rsid w:val="00976EE4"/>
    <w:rsid w:val="009831A1"/>
    <w:rsid w:val="00984EA4"/>
    <w:rsid w:val="00984F27"/>
    <w:rsid w:val="00985E9E"/>
    <w:rsid w:val="00990D61"/>
    <w:rsid w:val="00996A7C"/>
    <w:rsid w:val="009A0788"/>
    <w:rsid w:val="009A0A6E"/>
    <w:rsid w:val="009A4768"/>
    <w:rsid w:val="009A6BDC"/>
    <w:rsid w:val="009A7414"/>
    <w:rsid w:val="009A7D43"/>
    <w:rsid w:val="009B0B7B"/>
    <w:rsid w:val="009B1EA1"/>
    <w:rsid w:val="009B7C9A"/>
    <w:rsid w:val="009C0211"/>
    <w:rsid w:val="009C56E5"/>
    <w:rsid w:val="009C7716"/>
    <w:rsid w:val="009D4EEB"/>
    <w:rsid w:val="009E1134"/>
    <w:rsid w:val="009E5A4C"/>
    <w:rsid w:val="009E5FC8"/>
    <w:rsid w:val="009E6819"/>
    <w:rsid w:val="009E687A"/>
    <w:rsid w:val="009E6F04"/>
    <w:rsid w:val="009F0E61"/>
    <w:rsid w:val="009F236F"/>
    <w:rsid w:val="009F5EBD"/>
    <w:rsid w:val="00A0353B"/>
    <w:rsid w:val="00A03FDC"/>
    <w:rsid w:val="00A066F1"/>
    <w:rsid w:val="00A079E7"/>
    <w:rsid w:val="00A10884"/>
    <w:rsid w:val="00A11195"/>
    <w:rsid w:val="00A141AF"/>
    <w:rsid w:val="00A14F0C"/>
    <w:rsid w:val="00A16D29"/>
    <w:rsid w:val="00A17294"/>
    <w:rsid w:val="00A23115"/>
    <w:rsid w:val="00A24E3E"/>
    <w:rsid w:val="00A2554D"/>
    <w:rsid w:val="00A25A5D"/>
    <w:rsid w:val="00A2663C"/>
    <w:rsid w:val="00A30305"/>
    <w:rsid w:val="00A31D2D"/>
    <w:rsid w:val="00A31E9A"/>
    <w:rsid w:val="00A37E17"/>
    <w:rsid w:val="00A40D11"/>
    <w:rsid w:val="00A41BCA"/>
    <w:rsid w:val="00A4520D"/>
    <w:rsid w:val="00A4600A"/>
    <w:rsid w:val="00A518DA"/>
    <w:rsid w:val="00A538A6"/>
    <w:rsid w:val="00A53DB0"/>
    <w:rsid w:val="00A54610"/>
    <w:rsid w:val="00A54C25"/>
    <w:rsid w:val="00A617A4"/>
    <w:rsid w:val="00A62171"/>
    <w:rsid w:val="00A6280D"/>
    <w:rsid w:val="00A65F31"/>
    <w:rsid w:val="00A70665"/>
    <w:rsid w:val="00A710E7"/>
    <w:rsid w:val="00A7372E"/>
    <w:rsid w:val="00A7491C"/>
    <w:rsid w:val="00A7675F"/>
    <w:rsid w:val="00A76B02"/>
    <w:rsid w:val="00A778CC"/>
    <w:rsid w:val="00A811AE"/>
    <w:rsid w:val="00A8284C"/>
    <w:rsid w:val="00A82C77"/>
    <w:rsid w:val="00A91CA5"/>
    <w:rsid w:val="00A93B85"/>
    <w:rsid w:val="00A93D5E"/>
    <w:rsid w:val="00AA0771"/>
    <w:rsid w:val="00AA0B18"/>
    <w:rsid w:val="00AA12C6"/>
    <w:rsid w:val="00AA3C65"/>
    <w:rsid w:val="00AA666F"/>
    <w:rsid w:val="00AB04A0"/>
    <w:rsid w:val="00AB0B7C"/>
    <w:rsid w:val="00AB0BBC"/>
    <w:rsid w:val="00AB2DE9"/>
    <w:rsid w:val="00AB3ACA"/>
    <w:rsid w:val="00AB47CE"/>
    <w:rsid w:val="00AB5710"/>
    <w:rsid w:val="00AB77FB"/>
    <w:rsid w:val="00AC2ADD"/>
    <w:rsid w:val="00AC4EAA"/>
    <w:rsid w:val="00AC67C0"/>
    <w:rsid w:val="00AC6D59"/>
    <w:rsid w:val="00AD36C4"/>
    <w:rsid w:val="00AD3EA7"/>
    <w:rsid w:val="00AD5682"/>
    <w:rsid w:val="00AD7914"/>
    <w:rsid w:val="00AE514B"/>
    <w:rsid w:val="00AE55A4"/>
    <w:rsid w:val="00AE77D5"/>
    <w:rsid w:val="00B03E70"/>
    <w:rsid w:val="00B05307"/>
    <w:rsid w:val="00B06F11"/>
    <w:rsid w:val="00B126BB"/>
    <w:rsid w:val="00B131BC"/>
    <w:rsid w:val="00B217DC"/>
    <w:rsid w:val="00B21837"/>
    <w:rsid w:val="00B235A9"/>
    <w:rsid w:val="00B23F40"/>
    <w:rsid w:val="00B24F21"/>
    <w:rsid w:val="00B25DAE"/>
    <w:rsid w:val="00B2780B"/>
    <w:rsid w:val="00B3113F"/>
    <w:rsid w:val="00B3348C"/>
    <w:rsid w:val="00B34429"/>
    <w:rsid w:val="00B40888"/>
    <w:rsid w:val="00B44EB9"/>
    <w:rsid w:val="00B472DF"/>
    <w:rsid w:val="00B51352"/>
    <w:rsid w:val="00B54475"/>
    <w:rsid w:val="00B546B1"/>
    <w:rsid w:val="00B55BAA"/>
    <w:rsid w:val="00B56756"/>
    <w:rsid w:val="00B56980"/>
    <w:rsid w:val="00B606BF"/>
    <w:rsid w:val="00B62963"/>
    <w:rsid w:val="00B639E9"/>
    <w:rsid w:val="00B63E0F"/>
    <w:rsid w:val="00B64746"/>
    <w:rsid w:val="00B64A04"/>
    <w:rsid w:val="00B65628"/>
    <w:rsid w:val="00B663DB"/>
    <w:rsid w:val="00B66B01"/>
    <w:rsid w:val="00B72C62"/>
    <w:rsid w:val="00B73B0D"/>
    <w:rsid w:val="00B758FF"/>
    <w:rsid w:val="00B817CD"/>
    <w:rsid w:val="00B81A7D"/>
    <w:rsid w:val="00B82F9B"/>
    <w:rsid w:val="00B860EA"/>
    <w:rsid w:val="00B9038B"/>
    <w:rsid w:val="00B9069A"/>
    <w:rsid w:val="00B91EF7"/>
    <w:rsid w:val="00B93C47"/>
    <w:rsid w:val="00B94AD0"/>
    <w:rsid w:val="00B956F6"/>
    <w:rsid w:val="00B96F55"/>
    <w:rsid w:val="00B97439"/>
    <w:rsid w:val="00BA3E28"/>
    <w:rsid w:val="00BA41FC"/>
    <w:rsid w:val="00BA47D0"/>
    <w:rsid w:val="00BA63A1"/>
    <w:rsid w:val="00BB0281"/>
    <w:rsid w:val="00BB17FF"/>
    <w:rsid w:val="00BB2C28"/>
    <w:rsid w:val="00BB3A95"/>
    <w:rsid w:val="00BB40FA"/>
    <w:rsid w:val="00BB496A"/>
    <w:rsid w:val="00BB4C88"/>
    <w:rsid w:val="00BB7E89"/>
    <w:rsid w:val="00BC49C9"/>
    <w:rsid w:val="00BC6771"/>
    <w:rsid w:val="00BC7004"/>
    <w:rsid w:val="00BC75DE"/>
    <w:rsid w:val="00BD0020"/>
    <w:rsid w:val="00BD4834"/>
    <w:rsid w:val="00BD687C"/>
    <w:rsid w:val="00BD6CCE"/>
    <w:rsid w:val="00BE1792"/>
    <w:rsid w:val="00BE4799"/>
    <w:rsid w:val="00BE795C"/>
    <w:rsid w:val="00BF10A9"/>
    <w:rsid w:val="00BF14B0"/>
    <w:rsid w:val="00BF5673"/>
    <w:rsid w:val="00C0018F"/>
    <w:rsid w:val="00C02E2A"/>
    <w:rsid w:val="00C069C2"/>
    <w:rsid w:val="00C109FF"/>
    <w:rsid w:val="00C12CBE"/>
    <w:rsid w:val="00C145CC"/>
    <w:rsid w:val="00C16A5A"/>
    <w:rsid w:val="00C175EE"/>
    <w:rsid w:val="00C20466"/>
    <w:rsid w:val="00C214ED"/>
    <w:rsid w:val="00C21974"/>
    <w:rsid w:val="00C22F65"/>
    <w:rsid w:val="00C234E6"/>
    <w:rsid w:val="00C2585E"/>
    <w:rsid w:val="00C30F35"/>
    <w:rsid w:val="00C3152F"/>
    <w:rsid w:val="00C31E43"/>
    <w:rsid w:val="00C324A8"/>
    <w:rsid w:val="00C3474C"/>
    <w:rsid w:val="00C40733"/>
    <w:rsid w:val="00C40978"/>
    <w:rsid w:val="00C41811"/>
    <w:rsid w:val="00C51450"/>
    <w:rsid w:val="00C52136"/>
    <w:rsid w:val="00C52EF6"/>
    <w:rsid w:val="00C54517"/>
    <w:rsid w:val="00C54924"/>
    <w:rsid w:val="00C56F70"/>
    <w:rsid w:val="00C57B91"/>
    <w:rsid w:val="00C615F7"/>
    <w:rsid w:val="00C64CD8"/>
    <w:rsid w:val="00C66044"/>
    <w:rsid w:val="00C71DB7"/>
    <w:rsid w:val="00C73CC6"/>
    <w:rsid w:val="00C760ED"/>
    <w:rsid w:val="00C80E46"/>
    <w:rsid w:val="00C82695"/>
    <w:rsid w:val="00C831A2"/>
    <w:rsid w:val="00C914A8"/>
    <w:rsid w:val="00C91AD8"/>
    <w:rsid w:val="00C91CE7"/>
    <w:rsid w:val="00C93465"/>
    <w:rsid w:val="00C93EE3"/>
    <w:rsid w:val="00C96B9A"/>
    <w:rsid w:val="00C97C68"/>
    <w:rsid w:val="00CA1801"/>
    <w:rsid w:val="00CA1A47"/>
    <w:rsid w:val="00CA1FBE"/>
    <w:rsid w:val="00CA3000"/>
    <w:rsid w:val="00CA3DFC"/>
    <w:rsid w:val="00CA43D6"/>
    <w:rsid w:val="00CA7AD1"/>
    <w:rsid w:val="00CB09F7"/>
    <w:rsid w:val="00CB44E5"/>
    <w:rsid w:val="00CB5072"/>
    <w:rsid w:val="00CB553C"/>
    <w:rsid w:val="00CB5D7B"/>
    <w:rsid w:val="00CB775C"/>
    <w:rsid w:val="00CB7DF2"/>
    <w:rsid w:val="00CC247A"/>
    <w:rsid w:val="00CC276D"/>
    <w:rsid w:val="00CC5D9A"/>
    <w:rsid w:val="00CC7573"/>
    <w:rsid w:val="00CD023B"/>
    <w:rsid w:val="00CD0255"/>
    <w:rsid w:val="00CD0CCD"/>
    <w:rsid w:val="00CD428F"/>
    <w:rsid w:val="00CE388F"/>
    <w:rsid w:val="00CE55CF"/>
    <w:rsid w:val="00CE5E47"/>
    <w:rsid w:val="00CE77BE"/>
    <w:rsid w:val="00CF020F"/>
    <w:rsid w:val="00CF0465"/>
    <w:rsid w:val="00CF2B5B"/>
    <w:rsid w:val="00CF3321"/>
    <w:rsid w:val="00CF5FA4"/>
    <w:rsid w:val="00CF72FF"/>
    <w:rsid w:val="00CF785B"/>
    <w:rsid w:val="00D016FA"/>
    <w:rsid w:val="00D01E53"/>
    <w:rsid w:val="00D01F3F"/>
    <w:rsid w:val="00D03BE9"/>
    <w:rsid w:val="00D05EDF"/>
    <w:rsid w:val="00D075EB"/>
    <w:rsid w:val="00D105F3"/>
    <w:rsid w:val="00D11F5B"/>
    <w:rsid w:val="00D128D4"/>
    <w:rsid w:val="00D14B4E"/>
    <w:rsid w:val="00D14CE0"/>
    <w:rsid w:val="00D15528"/>
    <w:rsid w:val="00D166B2"/>
    <w:rsid w:val="00D17D33"/>
    <w:rsid w:val="00D255D4"/>
    <w:rsid w:val="00D268B3"/>
    <w:rsid w:val="00D30B4D"/>
    <w:rsid w:val="00D327FA"/>
    <w:rsid w:val="00D33095"/>
    <w:rsid w:val="00D353E8"/>
    <w:rsid w:val="00D413F9"/>
    <w:rsid w:val="00D43807"/>
    <w:rsid w:val="00D454D4"/>
    <w:rsid w:val="00D46012"/>
    <w:rsid w:val="00D47907"/>
    <w:rsid w:val="00D50FE5"/>
    <w:rsid w:val="00D51306"/>
    <w:rsid w:val="00D52451"/>
    <w:rsid w:val="00D52FD6"/>
    <w:rsid w:val="00D53387"/>
    <w:rsid w:val="00D54009"/>
    <w:rsid w:val="00D55830"/>
    <w:rsid w:val="00D55D19"/>
    <w:rsid w:val="00D5651D"/>
    <w:rsid w:val="00D57A34"/>
    <w:rsid w:val="00D6250D"/>
    <w:rsid w:val="00D647B4"/>
    <w:rsid w:val="00D6669F"/>
    <w:rsid w:val="00D72007"/>
    <w:rsid w:val="00D74898"/>
    <w:rsid w:val="00D75DDC"/>
    <w:rsid w:val="00D801ED"/>
    <w:rsid w:val="00D8070C"/>
    <w:rsid w:val="00D83A08"/>
    <w:rsid w:val="00D85909"/>
    <w:rsid w:val="00D919F0"/>
    <w:rsid w:val="00D93278"/>
    <w:rsid w:val="00D936BC"/>
    <w:rsid w:val="00D94A12"/>
    <w:rsid w:val="00D95536"/>
    <w:rsid w:val="00D9630A"/>
    <w:rsid w:val="00D96530"/>
    <w:rsid w:val="00D96E7D"/>
    <w:rsid w:val="00DA1CB1"/>
    <w:rsid w:val="00DA3DE4"/>
    <w:rsid w:val="00DA7C8A"/>
    <w:rsid w:val="00DB0A19"/>
    <w:rsid w:val="00DB1C91"/>
    <w:rsid w:val="00DB3946"/>
    <w:rsid w:val="00DB3E2F"/>
    <w:rsid w:val="00DB4F87"/>
    <w:rsid w:val="00DB6800"/>
    <w:rsid w:val="00DB73C0"/>
    <w:rsid w:val="00DB78B2"/>
    <w:rsid w:val="00DC05A3"/>
    <w:rsid w:val="00DC077F"/>
    <w:rsid w:val="00DC0BF9"/>
    <w:rsid w:val="00DC1E04"/>
    <w:rsid w:val="00DC4793"/>
    <w:rsid w:val="00DC6111"/>
    <w:rsid w:val="00DD3BB7"/>
    <w:rsid w:val="00DD44AF"/>
    <w:rsid w:val="00DD6528"/>
    <w:rsid w:val="00DE0B7B"/>
    <w:rsid w:val="00DE2AC3"/>
    <w:rsid w:val="00DE5215"/>
    <w:rsid w:val="00DE54F4"/>
    <w:rsid w:val="00DE5692"/>
    <w:rsid w:val="00DE6300"/>
    <w:rsid w:val="00DE6DC7"/>
    <w:rsid w:val="00DF1EAF"/>
    <w:rsid w:val="00DF40D1"/>
    <w:rsid w:val="00DF4BC6"/>
    <w:rsid w:val="00DF575F"/>
    <w:rsid w:val="00DF78E0"/>
    <w:rsid w:val="00DF7AA2"/>
    <w:rsid w:val="00E00A49"/>
    <w:rsid w:val="00E01AB9"/>
    <w:rsid w:val="00E02018"/>
    <w:rsid w:val="00E02C76"/>
    <w:rsid w:val="00E03C94"/>
    <w:rsid w:val="00E04697"/>
    <w:rsid w:val="00E04AA1"/>
    <w:rsid w:val="00E07E67"/>
    <w:rsid w:val="00E10CFE"/>
    <w:rsid w:val="00E10F44"/>
    <w:rsid w:val="00E12897"/>
    <w:rsid w:val="00E13ECD"/>
    <w:rsid w:val="00E13F1B"/>
    <w:rsid w:val="00E14476"/>
    <w:rsid w:val="00E15EA4"/>
    <w:rsid w:val="00E205BC"/>
    <w:rsid w:val="00E25F53"/>
    <w:rsid w:val="00E26226"/>
    <w:rsid w:val="00E40170"/>
    <w:rsid w:val="00E40296"/>
    <w:rsid w:val="00E42305"/>
    <w:rsid w:val="00E432C8"/>
    <w:rsid w:val="00E45D05"/>
    <w:rsid w:val="00E474CA"/>
    <w:rsid w:val="00E47540"/>
    <w:rsid w:val="00E5522F"/>
    <w:rsid w:val="00E55816"/>
    <w:rsid w:val="00E55AEF"/>
    <w:rsid w:val="00E640F6"/>
    <w:rsid w:val="00E6554A"/>
    <w:rsid w:val="00E7214E"/>
    <w:rsid w:val="00E72300"/>
    <w:rsid w:val="00E731AC"/>
    <w:rsid w:val="00E731F3"/>
    <w:rsid w:val="00E74F88"/>
    <w:rsid w:val="00E83392"/>
    <w:rsid w:val="00E91078"/>
    <w:rsid w:val="00E9251F"/>
    <w:rsid w:val="00E95698"/>
    <w:rsid w:val="00E963A4"/>
    <w:rsid w:val="00E96C27"/>
    <w:rsid w:val="00E976C1"/>
    <w:rsid w:val="00EA1028"/>
    <w:rsid w:val="00EA12E5"/>
    <w:rsid w:val="00EA191D"/>
    <w:rsid w:val="00EA5E81"/>
    <w:rsid w:val="00EB0812"/>
    <w:rsid w:val="00EB0B94"/>
    <w:rsid w:val="00EB54B2"/>
    <w:rsid w:val="00EB55C6"/>
    <w:rsid w:val="00EB61CE"/>
    <w:rsid w:val="00EB7EAA"/>
    <w:rsid w:val="00EC0B21"/>
    <w:rsid w:val="00EC659B"/>
    <w:rsid w:val="00EC6D54"/>
    <w:rsid w:val="00EC6DBE"/>
    <w:rsid w:val="00ED4722"/>
    <w:rsid w:val="00ED4F1F"/>
    <w:rsid w:val="00ED500D"/>
    <w:rsid w:val="00ED65CF"/>
    <w:rsid w:val="00ED6AB6"/>
    <w:rsid w:val="00EE11A8"/>
    <w:rsid w:val="00EE23AA"/>
    <w:rsid w:val="00EE2B71"/>
    <w:rsid w:val="00EE3B35"/>
    <w:rsid w:val="00EE5C32"/>
    <w:rsid w:val="00EE7697"/>
    <w:rsid w:val="00EF17C4"/>
    <w:rsid w:val="00EF1932"/>
    <w:rsid w:val="00EF3867"/>
    <w:rsid w:val="00EF3DFD"/>
    <w:rsid w:val="00EF6AA6"/>
    <w:rsid w:val="00EF71B6"/>
    <w:rsid w:val="00F02042"/>
    <w:rsid w:val="00F02674"/>
    <w:rsid w:val="00F02766"/>
    <w:rsid w:val="00F038F0"/>
    <w:rsid w:val="00F03B96"/>
    <w:rsid w:val="00F04E05"/>
    <w:rsid w:val="00F05BD4"/>
    <w:rsid w:val="00F06473"/>
    <w:rsid w:val="00F06742"/>
    <w:rsid w:val="00F12C68"/>
    <w:rsid w:val="00F12E05"/>
    <w:rsid w:val="00F132FC"/>
    <w:rsid w:val="00F14E35"/>
    <w:rsid w:val="00F20ED2"/>
    <w:rsid w:val="00F20F00"/>
    <w:rsid w:val="00F2107B"/>
    <w:rsid w:val="00F24908"/>
    <w:rsid w:val="00F3104E"/>
    <w:rsid w:val="00F320AA"/>
    <w:rsid w:val="00F348FF"/>
    <w:rsid w:val="00F408A9"/>
    <w:rsid w:val="00F42851"/>
    <w:rsid w:val="00F4415A"/>
    <w:rsid w:val="00F52D50"/>
    <w:rsid w:val="00F530FD"/>
    <w:rsid w:val="00F54412"/>
    <w:rsid w:val="00F54946"/>
    <w:rsid w:val="00F5705F"/>
    <w:rsid w:val="00F6155B"/>
    <w:rsid w:val="00F654F7"/>
    <w:rsid w:val="00F65C19"/>
    <w:rsid w:val="00F70304"/>
    <w:rsid w:val="00F749E5"/>
    <w:rsid w:val="00F7599E"/>
    <w:rsid w:val="00F80983"/>
    <w:rsid w:val="00F822B0"/>
    <w:rsid w:val="00F841CE"/>
    <w:rsid w:val="00F8436D"/>
    <w:rsid w:val="00F86008"/>
    <w:rsid w:val="00F875E5"/>
    <w:rsid w:val="00F927EF"/>
    <w:rsid w:val="00F9353A"/>
    <w:rsid w:val="00F94A2E"/>
    <w:rsid w:val="00F95C6A"/>
    <w:rsid w:val="00F96133"/>
    <w:rsid w:val="00F97F74"/>
    <w:rsid w:val="00FA5F9F"/>
    <w:rsid w:val="00FA790E"/>
    <w:rsid w:val="00FB0DF1"/>
    <w:rsid w:val="00FC4C4A"/>
    <w:rsid w:val="00FD08E2"/>
    <w:rsid w:val="00FD0ACC"/>
    <w:rsid w:val="00FD18DA"/>
    <w:rsid w:val="00FD1F10"/>
    <w:rsid w:val="00FD2546"/>
    <w:rsid w:val="00FD4FC0"/>
    <w:rsid w:val="00FD5C80"/>
    <w:rsid w:val="00FD62A8"/>
    <w:rsid w:val="00FD6D9E"/>
    <w:rsid w:val="00FD772E"/>
    <w:rsid w:val="00FE03DB"/>
    <w:rsid w:val="00FE1799"/>
    <w:rsid w:val="00FE1ECC"/>
    <w:rsid w:val="00FE2F79"/>
    <w:rsid w:val="00FE59DB"/>
    <w:rsid w:val="00FE7668"/>
    <w:rsid w:val="00FE78C7"/>
    <w:rsid w:val="00FF43AC"/>
    <w:rsid w:val="00FF5EA8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3CFD65"/>
  <w15:docId w15:val="{0B3E6A1D-F85A-411A-BECE-E2F8F466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qFormat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EB54B2"/>
    <w:pPr>
      <w:spacing w:after="240"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EB54B2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(NECG) Footnote Reference,-E Funotenzeichen,A,FR,Footnote Reference1,Ref,Style 1,Style 12,Style 124,Style 13,Style 17,Style 20,Style 3,Style 34,Style 4,Style 6,Style 7,Style 9,callout,fr"/>
    <w:basedOn w:val="DefaultParagraphFont"/>
    <w:qFormat/>
    <w:rsid w:val="00745AEE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footnote text"/>
    <w:basedOn w:val="Normal"/>
    <w:link w:val="FootnoteTextChar"/>
    <w:qFormat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footnote text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link w:val="TableheadChar"/>
    <w:qFormat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Tabletext"/>
    <w:rsid w:val="00EB54B2"/>
    <w:rPr>
      <w:sz w:val="18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qFormat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B54B2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link w:val="NoteChar"/>
    <w:qFormat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EB54B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fin">
    <w:name w:val="Table_fin"/>
    <w:basedOn w:val="Tabletext"/>
    <w:qFormat/>
    <w:rsid w:val="00F822B0"/>
    <w:pPr>
      <w:spacing w:before="0" w:after="0"/>
    </w:pPr>
  </w:style>
  <w:style w:type="paragraph" w:customStyle="1" w:styleId="EditorsNote">
    <w:name w:val="EditorsNote"/>
    <w:basedOn w:val="Normal"/>
    <w:qFormat/>
    <w:rsid w:val="00EB54B2"/>
    <w:pPr>
      <w:spacing w:before="240" w:after="240"/>
    </w:pPr>
    <w:rPr>
      <w:i/>
    </w:rPr>
  </w:style>
  <w:style w:type="character" w:customStyle="1" w:styleId="href">
    <w:name w:val="href"/>
    <w:basedOn w:val="DefaultParagraphFont"/>
    <w:rsid w:val="009B463A"/>
  </w:style>
  <w:style w:type="character" w:customStyle="1" w:styleId="ArtrefBold">
    <w:name w:val="Art_ref +  Bold"/>
    <w:basedOn w:val="Artref"/>
    <w:uiPriority w:val="99"/>
    <w:rsid w:val="00044B5F"/>
    <w:rPr>
      <w:b/>
      <w:color w:val="auto"/>
    </w:rPr>
  </w:style>
  <w:style w:type="character" w:customStyle="1" w:styleId="ApprefBold">
    <w:name w:val="App_ref + Bold"/>
    <w:basedOn w:val="Appref"/>
    <w:qFormat/>
    <w:rsid w:val="00AF0010"/>
    <w:rPr>
      <w:b/>
      <w:bCs/>
      <w:color w:val="000000"/>
    </w:r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46FC6"/>
    <w:rPr>
      <w:rFonts w:ascii="Times New Roman" w:hAnsi="Times New Roman"/>
      <w:sz w:val="24"/>
      <w:lang w:val="en-GB" w:eastAsia="en-US"/>
    </w:rPr>
  </w:style>
  <w:style w:type="paragraph" w:customStyle="1" w:styleId="Artref0">
    <w:name w:val="Art ref"/>
    <w:basedOn w:val="TableTextS5"/>
    <w:rsid w:val="007F7294"/>
    <w:pPr>
      <w:spacing w:before="0"/>
      <w:ind w:left="3266" w:hanging="3266"/>
    </w:pPr>
    <w:rPr>
      <w:color w:val="000000"/>
    </w:rPr>
  </w:style>
  <w:style w:type="character" w:styleId="CommentReference">
    <w:name w:val="annotation reference"/>
    <w:rsid w:val="00CD023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D023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D023B"/>
    <w:rPr>
      <w:rFonts w:ascii="Times New Roman" w:hAnsi="Times New Roman"/>
      <w:lang w:val="en-GB" w:eastAsia="en-US"/>
    </w:rPr>
  </w:style>
  <w:style w:type="character" w:customStyle="1" w:styleId="enumlev1Char">
    <w:name w:val="enumlev1 Char"/>
    <w:link w:val="enumlev1"/>
    <w:qFormat/>
    <w:rsid w:val="00C3474C"/>
    <w:rPr>
      <w:rFonts w:ascii="Times New Roman" w:hAnsi="Times New Roman"/>
      <w:sz w:val="24"/>
      <w:lang w:val="en-GB" w:eastAsia="en-US"/>
    </w:rPr>
  </w:style>
  <w:style w:type="table" w:styleId="TableGrid">
    <w:name w:val="Table Grid"/>
    <w:basedOn w:val="TableNormal"/>
    <w:uiPriority w:val="39"/>
    <w:qFormat/>
    <w:rsid w:val="00C3474C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title0">
    <w:name w:val="Annex title"/>
    <w:basedOn w:val="Normal"/>
    <w:rsid w:val="00662EE9"/>
    <w:pPr>
      <w:keepNext/>
      <w:keepLines/>
      <w:spacing w:before="240" w:after="280"/>
      <w:jc w:val="center"/>
    </w:pPr>
    <w:rPr>
      <w:b/>
      <w:sz w:val="22"/>
      <w:szCs w:val="22"/>
      <w:lang w:eastAsia="zh-CN"/>
    </w:rPr>
  </w:style>
  <w:style w:type="paragraph" w:customStyle="1" w:styleId="Annex">
    <w:name w:val="Annex"/>
    <w:basedOn w:val="Annextitle0"/>
    <w:rsid w:val="00662EE9"/>
  </w:style>
  <w:style w:type="paragraph" w:customStyle="1" w:styleId="Equ">
    <w:name w:val="Equ"/>
    <w:basedOn w:val="enumlev1"/>
    <w:rsid w:val="009521E2"/>
    <w:rPr>
      <w:noProof/>
    </w:rPr>
  </w:style>
  <w:style w:type="character" w:customStyle="1" w:styleId="TableheadChar">
    <w:name w:val="Table_head Char"/>
    <w:basedOn w:val="DefaultParagraphFont"/>
    <w:link w:val="Tablehead"/>
    <w:qFormat/>
    <w:locked/>
    <w:rsid w:val="00D353E8"/>
    <w:rPr>
      <w:rFonts w:ascii="Times New Roman Bold" w:hAnsi="Times New Roman Bold" w:cs="Times New Roman Bold"/>
      <w:b/>
      <w:lang w:val="en-GB" w:eastAsia="en-US"/>
    </w:rPr>
  </w:style>
  <w:style w:type="character" w:customStyle="1" w:styleId="NoteChar">
    <w:name w:val="Note Char"/>
    <w:basedOn w:val="DefaultParagraphFont"/>
    <w:link w:val="Note"/>
    <w:qFormat/>
    <w:locked/>
    <w:rsid w:val="00292A17"/>
    <w:rPr>
      <w:rFonts w:ascii="Times New Roman" w:hAnsi="Times New Roman"/>
      <w:sz w:val="24"/>
      <w:lang w:val="en-GB" w:eastAsia="en-US"/>
    </w:rPr>
  </w:style>
  <w:style w:type="character" w:customStyle="1" w:styleId="TabletextChar">
    <w:name w:val="Table_text Char"/>
    <w:basedOn w:val="DefaultParagraphFont"/>
    <w:link w:val="Tabletext"/>
    <w:qFormat/>
    <w:rsid w:val="004913C2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9A0788"/>
    <w:pPr>
      <w:ind w:left="720"/>
      <w:contextualSpacing/>
    </w:pPr>
  </w:style>
  <w:style w:type="character" w:customStyle="1" w:styleId="NormalaftertitleChar">
    <w:name w:val="Normal after title Char"/>
    <w:basedOn w:val="DefaultParagraphFont"/>
    <w:link w:val="Normalaftertitle"/>
    <w:qFormat/>
    <w:locked/>
    <w:rsid w:val="00530104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c6a61cb-1973-4fc6-92ae-f4d7a447140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C0022EB775643AF16E7975D86A924" ma:contentTypeVersion="" ma:contentTypeDescription="Create a new document." ma:contentTypeScope="" ma:versionID="7b69b4ea50c65c893fad92e4948c06b5">
  <xsd:schema xmlns:xsd="http://www.w3.org/2001/XMLSchema" xmlns:xs="http://www.w3.org/2001/XMLSchema" xmlns:p="http://schemas.microsoft.com/office/2006/metadata/properties" xmlns:ns2="4c6a61cb-1973-4fc6-92ae-f4d7a4471404" targetNamespace="http://schemas.microsoft.com/office/2006/metadata/properties" ma:root="true" ma:fieldsID="d07ea48c7715b86ca08b51e5263fcf8f" ns2:_="">
    <xsd:import namespace="4c6a61cb-1973-4fc6-92ae-f4d7a4471404"/>
    <xsd:element name="properties">
      <xsd:complexType>
        <xsd:sequence>
          <xsd:element name="documentManagement">
            <xsd:complexType>
              <xsd:all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a61cb-1973-4fc6-92ae-f4d7a4471404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9F9EA-9DAA-4FA1-9E25-28A320ECF7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071D49-BA20-4AFD-9D58-BDCE3803579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AEAC83B-FFBB-4876-B1A8-126EAB25A42E}">
  <ds:schemaRefs>
    <ds:schemaRef ds:uri="http://schemas.microsoft.com/office/2006/metadata/properties"/>
    <ds:schemaRef ds:uri="http://schemas.microsoft.com/office/infopath/2007/PartnerControls"/>
    <ds:schemaRef ds:uri="76b7d054-b29f-418b-b414-6b742f999448"/>
  </ds:schemaRefs>
</ds:datastoreItem>
</file>

<file path=customXml/itemProps4.xml><?xml version="1.0" encoding="utf-8"?>
<ds:datastoreItem xmlns:ds="http://schemas.openxmlformats.org/officeDocument/2006/customXml" ds:itemID="{40590B76-28CD-450E-9FC1-56E4FCCF5496}"/>
</file>

<file path=customXml/itemProps5.xml><?xml version="1.0" encoding="utf-8"?>
<ds:datastoreItem xmlns:ds="http://schemas.openxmlformats.org/officeDocument/2006/customXml" ds:itemID="{9CF1AA18-B039-4036-837A-C1CAA7A3E11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4b4a4d2-f55e-4cb1-9d3d-d9e45016299a}" enabled="1" method="Standard" siteId="{88281ca8-e525-4a8d-b965-480a7ac2b9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2336</TotalTime>
  <Pages>7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R23-WRC23-C-0044!A17!MSW-E</vt:lpstr>
    </vt:vector>
  </TitlesOfParts>
  <Manager>General Secretariat - Pool</Manager>
  <Company>International Telecommunication Union (ITU)</Company>
  <LinksUpToDate>false</LinksUpToDate>
  <CharactersWithSpaces>11340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1.17 DG Annex 4</dc:title>
  <dc:subject>World Radiocommunication Conference - 2023</dc:subject>
  <dc:creator>Documents Proposals Manager (DPM)</dc:creator>
  <cp:keywords>DPM_v2023.8.1.1_prod</cp:keywords>
  <dc:description>Uploaded on 2015.07.06</dc:description>
  <cp:lastModifiedBy>DG Chair</cp:lastModifiedBy>
  <cp:revision>750</cp:revision>
  <cp:lastPrinted>2023-11-08T14:56:00Z</cp:lastPrinted>
  <dcterms:created xsi:type="dcterms:W3CDTF">2023-11-08T14:55:00Z</dcterms:created>
  <dcterms:modified xsi:type="dcterms:W3CDTF">2023-11-23T04:29:00Z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0x01010012DC0022EB775643AF16E7975D86A924</vt:lpwstr>
  </property>
  <property fmtid="{D5CDD505-2E9C-101B-9397-08002B2CF9AE}" pid="10" name="_dlc_DocIdItemGuid">
    <vt:lpwstr>e3f51d54-8436-4404-bce8-bbffce89a1d7</vt:lpwstr>
  </property>
  <property fmtid="{D5CDD505-2E9C-101B-9397-08002B2CF9AE}" pid="11" name="MTWinEqns">
    <vt:bool>true</vt:bool>
  </property>
  <property fmtid="{D5CDD505-2E9C-101B-9397-08002B2CF9AE}" pid="12" name="MSIP_Label_80c748a0-2ff9-441a-82d5-30ac767f9d6f_Enabled">
    <vt:lpwstr>true</vt:lpwstr>
  </property>
  <property fmtid="{D5CDD505-2E9C-101B-9397-08002B2CF9AE}" pid="13" name="MSIP_Label_80c748a0-2ff9-441a-82d5-30ac767f9d6f_SetDate">
    <vt:lpwstr>2023-11-22T14:47:03Z</vt:lpwstr>
  </property>
  <property fmtid="{D5CDD505-2E9C-101B-9397-08002B2CF9AE}" pid="14" name="MSIP_Label_80c748a0-2ff9-441a-82d5-30ac767f9d6f_Method">
    <vt:lpwstr>Standard</vt:lpwstr>
  </property>
  <property fmtid="{D5CDD505-2E9C-101B-9397-08002B2CF9AE}" pid="15" name="MSIP_Label_80c748a0-2ff9-441a-82d5-30ac767f9d6f_Name">
    <vt:lpwstr>OneWeb Proprietary</vt:lpwstr>
  </property>
  <property fmtid="{D5CDD505-2E9C-101B-9397-08002B2CF9AE}" pid="16" name="MSIP_Label_80c748a0-2ff9-441a-82d5-30ac767f9d6f_SiteId">
    <vt:lpwstr>d81db6ff-4c7d-4a1d-b562-81e85431d5ba</vt:lpwstr>
  </property>
  <property fmtid="{D5CDD505-2E9C-101B-9397-08002B2CF9AE}" pid="17" name="MSIP_Label_80c748a0-2ff9-441a-82d5-30ac767f9d6f_ActionId">
    <vt:lpwstr>266912d4-d45f-4624-a619-9f3234617ae1</vt:lpwstr>
  </property>
  <property fmtid="{D5CDD505-2E9C-101B-9397-08002B2CF9AE}" pid="18" name="MSIP_Label_80c748a0-2ff9-441a-82d5-30ac767f9d6f_ContentBits">
    <vt:lpwstr>0</vt:lpwstr>
  </property>
</Properties>
</file>